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95" w:rsidRPr="007223BA" w:rsidRDefault="00BD4695" w:rsidP="00D404E6">
      <w:pPr>
        <w:spacing w:line="276" w:lineRule="auto"/>
        <w:rPr>
          <w:rFonts w:asciiTheme="minorHAnsi" w:hAnsiTheme="minorHAnsi"/>
          <w:b/>
          <w:sz w:val="22"/>
          <w:szCs w:val="22"/>
        </w:rPr>
      </w:pPr>
      <w:r w:rsidRPr="007223BA">
        <w:rPr>
          <w:rFonts w:asciiTheme="minorHAnsi" w:hAnsiTheme="minorHAnsi"/>
          <w:b/>
          <w:sz w:val="22"/>
          <w:szCs w:val="22"/>
        </w:rPr>
        <w:t>NEEP Maryland Cost-Effectiveness Screening Version 6 Comments</w:t>
      </w:r>
      <w:r w:rsidR="007223BA" w:rsidRPr="007223BA">
        <w:rPr>
          <w:rFonts w:asciiTheme="minorHAnsi" w:hAnsiTheme="minorHAnsi"/>
          <w:b/>
          <w:sz w:val="22"/>
          <w:szCs w:val="22"/>
        </w:rPr>
        <w:t>- June 6, 2014</w:t>
      </w:r>
    </w:p>
    <w:p w:rsidR="00BD4695" w:rsidRPr="00B77CAC" w:rsidRDefault="00BD4695" w:rsidP="00D404E6">
      <w:pPr>
        <w:spacing w:line="276" w:lineRule="auto"/>
        <w:rPr>
          <w:rFonts w:asciiTheme="minorHAnsi" w:hAnsiTheme="minorHAnsi"/>
          <w:sz w:val="22"/>
          <w:szCs w:val="22"/>
        </w:rPr>
      </w:pPr>
    </w:p>
    <w:p w:rsidR="00BD4695" w:rsidRPr="00B77CAC" w:rsidRDefault="00BD4695" w:rsidP="00D404E6">
      <w:pPr>
        <w:spacing w:line="276" w:lineRule="auto"/>
        <w:rPr>
          <w:rFonts w:asciiTheme="minorHAnsi" w:hAnsiTheme="minorHAnsi"/>
          <w:sz w:val="22"/>
          <w:szCs w:val="22"/>
        </w:rPr>
      </w:pPr>
      <w:r w:rsidRPr="00B77CAC">
        <w:rPr>
          <w:rFonts w:asciiTheme="minorHAnsi" w:hAnsiTheme="minorHAnsi"/>
          <w:sz w:val="22"/>
          <w:szCs w:val="22"/>
        </w:rPr>
        <w:t>Northeast Energy Efficiency Partnerships (NEEP)</w:t>
      </w:r>
      <w:r w:rsidR="00D404E6" w:rsidRPr="00B77CAC">
        <w:rPr>
          <w:rStyle w:val="FootnoteReference"/>
          <w:rFonts w:asciiTheme="minorHAnsi" w:hAnsiTheme="minorHAnsi"/>
          <w:sz w:val="22"/>
          <w:szCs w:val="22"/>
        </w:rPr>
        <w:footnoteReference w:id="1"/>
      </w:r>
      <w:r w:rsidRPr="00B77CAC">
        <w:rPr>
          <w:rFonts w:asciiTheme="minorHAnsi" w:hAnsiTheme="minorHAnsi"/>
          <w:sz w:val="22"/>
          <w:szCs w:val="22"/>
        </w:rPr>
        <w:t xml:space="preserve"> commends the </w:t>
      </w:r>
      <w:proofErr w:type="spellStart"/>
      <w:r w:rsidRPr="00B77CAC">
        <w:rPr>
          <w:rFonts w:asciiTheme="minorHAnsi" w:hAnsiTheme="minorHAnsi"/>
          <w:sz w:val="22"/>
          <w:szCs w:val="22"/>
        </w:rPr>
        <w:t>EmPOWER</w:t>
      </w:r>
      <w:proofErr w:type="spellEnd"/>
      <w:r w:rsidRPr="00B77CAC">
        <w:rPr>
          <w:rFonts w:asciiTheme="minorHAnsi" w:hAnsiTheme="minorHAnsi"/>
          <w:sz w:val="22"/>
          <w:szCs w:val="22"/>
        </w:rPr>
        <w:t xml:space="preserve"> Maryland Working Group for its work to revise </w:t>
      </w:r>
      <w:bookmarkStart w:id="0" w:name="_GoBack"/>
      <w:bookmarkEnd w:id="0"/>
      <w:r w:rsidRPr="00B77CAC">
        <w:rPr>
          <w:rFonts w:asciiTheme="minorHAnsi" w:hAnsiTheme="minorHAnsi"/>
          <w:sz w:val="22"/>
          <w:szCs w:val="22"/>
        </w:rPr>
        <w:t xml:space="preserve">Maryland’s cost-effectiveness screening methodology. </w:t>
      </w:r>
      <w:r w:rsidR="00963754" w:rsidRPr="00B77CAC">
        <w:rPr>
          <w:rFonts w:asciiTheme="minorHAnsi" w:hAnsiTheme="minorHAnsi"/>
          <w:sz w:val="22"/>
          <w:szCs w:val="22"/>
        </w:rPr>
        <w:t xml:space="preserve">The </w:t>
      </w:r>
      <w:r w:rsidRPr="00B77CAC">
        <w:rPr>
          <w:rFonts w:asciiTheme="minorHAnsi" w:hAnsiTheme="minorHAnsi"/>
          <w:sz w:val="22"/>
          <w:szCs w:val="22"/>
        </w:rPr>
        <w:t xml:space="preserve">Cost-Effectiveness Straw Proposal will be a valuable guide to assist the Public Service Commission to determine </w:t>
      </w:r>
      <w:r w:rsidR="00963754" w:rsidRPr="00B77CAC">
        <w:rPr>
          <w:rFonts w:asciiTheme="minorHAnsi" w:hAnsiTheme="minorHAnsi"/>
          <w:sz w:val="22"/>
          <w:szCs w:val="22"/>
        </w:rPr>
        <w:t xml:space="preserve">which </w:t>
      </w:r>
      <w:r w:rsidRPr="00B77CAC">
        <w:rPr>
          <w:rFonts w:asciiTheme="minorHAnsi" w:hAnsiTheme="minorHAnsi"/>
          <w:sz w:val="22"/>
          <w:szCs w:val="22"/>
        </w:rPr>
        <w:t xml:space="preserve">energy efficiency investments are cost-effective and best serve the interests of ratepayers for the 2015-2017 </w:t>
      </w:r>
      <w:proofErr w:type="spellStart"/>
      <w:r w:rsidRPr="00B77CAC">
        <w:rPr>
          <w:rFonts w:asciiTheme="minorHAnsi" w:hAnsiTheme="minorHAnsi"/>
          <w:sz w:val="22"/>
          <w:szCs w:val="22"/>
        </w:rPr>
        <w:t>EmPOWER</w:t>
      </w:r>
      <w:proofErr w:type="spellEnd"/>
      <w:r w:rsidRPr="00B77CAC">
        <w:rPr>
          <w:rFonts w:asciiTheme="minorHAnsi" w:hAnsiTheme="minorHAnsi"/>
          <w:sz w:val="22"/>
          <w:szCs w:val="22"/>
        </w:rPr>
        <w:t xml:space="preserve"> program plans. Maryland Energy Administration (MEA) and Public Service Commission (PSC) staff offered extensive opportunity for stakeholders to provide their input into the Straw Proposal and </w:t>
      </w:r>
      <w:r w:rsidR="0069730C" w:rsidRPr="00B77CAC">
        <w:rPr>
          <w:rFonts w:asciiTheme="minorHAnsi" w:hAnsiTheme="minorHAnsi"/>
          <w:sz w:val="22"/>
          <w:szCs w:val="22"/>
        </w:rPr>
        <w:t>stakeholders have</w:t>
      </w:r>
      <w:r w:rsidRPr="00B77CAC">
        <w:rPr>
          <w:rFonts w:asciiTheme="minorHAnsi" w:hAnsiTheme="minorHAnsi"/>
          <w:sz w:val="22"/>
          <w:szCs w:val="22"/>
        </w:rPr>
        <w:t xml:space="preserve"> provided constructive input </w:t>
      </w:r>
      <w:r w:rsidR="0069730C" w:rsidRPr="00B77CAC">
        <w:rPr>
          <w:rFonts w:asciiTheme="minorHAnsi" w:hAnsiTheme="minorHAnsi"/>
          <w:sz w:val="22"/>
          <w:szCs w:val="22"/>
        </w:rPr>
        <w:t>through the process.</w:t>
      </w:r>
    </w:p>
    <w:p w:rsidR="00BD4695" w:rsidRPr="00B77CAC" w:rsidRDefault="00BD4695" w:rsidP="00D404E6">
      <w:pPr>
        <w:spacing w:line="276" w:lineRule="auto"/>
        <w:rPr>
          <w:rFonts w:asciiTheme="minorHAnsi" w:hAnsiTheme="minorHAnsi"/>
          <w:sz w:val="22"/>
          <w:szCs w:val="22"/>
        </w:rPr>
      </w:pPr>
    </w:p>
    <w:p w:rsidR="00BD4695" w:rsidRPr="00B77CAC" w:rsidRDefault="00B77CAC" w:rsidP="00D404E6">
      <w:pPr>
        <w:spacing w:line="276" w:lineRule="auto"/>
        <w:rPr>
          <w:rFonts w:asciiTheme="minorHAnsi" w:hAnsiTheme="minorHAnsi"/>
          <w:sz w:val="22"/>
          <w:szCs w:val="22"/>
        </w:rPr>
      </w:pPr>
      <w:r>
        <w:rPr>
          <w:rFonts w:asciiTheme="minorHAnsi" w:hAnsiTheme="minorHAnsi"/>
          <w:sz w:val="22"/>
          <w:szCs w:val="22"/>
        </w:rPr>
        <w:t>The</w:t>
      </w:r>
      <w:r w:rsidR="00BD4695" w:rsidRPr="00B77CAC">
        <w:rPr>
          <w:rFonts w:asciiTheme="minorHAnsi" w:hAnsiTheme="minorHAnsi"/>
          <w:sz w:val="22"/>
          <w:szCs w:val="22"/>
        </w:rPr>
        <w:t xml:space="preserve"> Working Group process has helped to align Maryland’s cost-effectiveness screening tests with its public policy goals, particularly those articulated in the </w:t>
      </w:r>
      <w:proofErr w:type="spellStart"/>
      <w:r w:rsidR="00BD4695" w:rsidRPr="00B77CAC">
        <w:rPr>
          <w:rFonts w:asciiTheme="minorHAnsi" w:hAnsiTheme="minorHAnsi"/>
          <w:sz w:val="22"/>
          <w:szCs w:val="22"/>
        </w:rPr>
        <w:t>EmPOWER</w:t>
      </w:r>
      <w:proofErr w:type="spellEnd"/>
      <w:r w:rsidR="00BD4695" w:rsidRPr="00B77CAC">
        <w:rPr>
          <w:rFonts w:asciiTheme="minorHAnsi" w:hAnsiTheme="minorHAnsi"/>
          <w:sz w:val="22"/>
          <w:szCs w:val="22"/>
        </w:rPr>
        <w:t xml:space="preserve"> statute. This effort should continue as new state, </w:t>
      </w:r>
      <w:proofErr w:type="gramStart"/>
      <w:r w:rsidR="00BD4695" w:rsidRPr="00B77CAC">
        <w:rPr>
          <w:rFonts w:asciiTheme="minorHAnsi" w:hAnsiTheme="minorHAnsi"/>
          <w:sz w:val="22"/>
          <w:szCs w:val="22"/>
        </w:rPr>
        <w:t>regional,</w:t>
      </w:r>
      <w:proofErr w:type="gramEnd"/>
      <w:r w:rsidR="00BD4695" w:rsidRPr="00B77CAC">
        <w:rPr>
          <w:rFonts w:asciiTheme="minorHAnsi" w:hAnsiTheme="minorHAnsi"/>
          <w:sz w:val="22"/>
          <w:szCs w:val="22"/>
        </w:rPr>
        <w:t xml:space="preserve"> and national policy initiatives arise (e.g., the new EPA </w:t>
      </w:r>
      <w:r w:rsidR="0069730C" w:rsidRPr="00B77CAC">
        <w:rPr>
          <w:rFonts w:asciiTheme="minorHAnsi" w:hAnsiTheme="minorHAnsi"/>
          <w:sz w:val="22"/>
          <w:szCs w:val="22"/>
        </w:rPr>
        <w:t>regulations</w:t>
      </w:r>
      <w:r w:rsidR="00BD4695" w:rsidRPr="00B77CAC">
        <w:rPr>
          <w:rFonts w:asciiTheme="minorHAnsi" w:hAnsiTheme="minorHAnsi"/>
          <w:sz w:val="22"/>
          <w:szCs w:val="22"/>
        </w:rPr>
        <w:t xml:space="preserve"> on </w:t>
      </w:r>
      <w:r w:rsidR="0069730C" w:rsidRPr="00B77CAC">
        <w:rPr>
          <w:rFonts w:asciiTheme="minorHAnsi" w:hAnsiTheme="minorHAnsi"/>
          <w:sz w:val="22"/>
          <w:szCs w:val="22"/>
        </w:rPr>
        <w:t xml:space="preserve">CO2 emissions from </w:t>
      </w:r>
      <w:r w:rsidR="00BD4695" w:rsidRPr="00B77CAC">
        <w:rPr>
          <w:rFonts w:asciiTheme="minorHAnsi" w:hAnsiTheme="minorHAnsi"/>
          <w:sz w:val="22"/>
          <w:szCs w:val="22"/>
        </w:rPr>
        <w:t xml:space="preserve">power plants). The process has also </w:t>
      </w:r>
      <w:r w:rsidR="00D404E6" w:rsidRPr="00B77CAC">
        <w:rPr>
          <w:rFonts w:asciiTheme="minorHAnsi" w:hAnsiTheme="minorHAnsi"/>
          <w:sz w:val="22"/>
          <w:szCs w:val="22"/>
        </w:rPr>
        <w:t>improved</w:t>
      </w:r>
      <w:r w:rsidR="00BD4695" w:rsidRPr="00B77CAC">
        <w:rPr>
          <w:rFonts w:asciiTheme="minorHAnsi" w:hAnsiTheme="minorHAnsi"/>
          <w:sz w:val="22"/>
          <w:szCs w:val="22"/>
        </w:rPr>
        <w:t xml:space="preserve"> transparency and understanding of </w:t>
      </w:r>
      <w:r w:rsidR="0069730C" w:rsidRPr="00B77CAC">
        <w:rPr>
          <w:rFonts w:asciiTheme="minorHAnsi" w:hAnsiTheme="minorHAnsi"/>
          <w:sz w:val="22"/>
          <w:szCs w:val="22"/>
        </w:rPr>
        <w:t xml:space="preserve">energy efficiency </w:t>
      </w:r>
      <w:r w:rsidR="00BD4695" w:rsidRPr="00B77CAC">
        <w:rPr>
          <w:rFonts w:asciiTheme="minorHAnsi" w:hAnsiTheme="minorHAnsi"/>
          <w:sz w:val="22"/>
          <w:szCs w:val="22"/>
        </w:rPr>
        <w:t xml:space="preserve">cost-effectiveness screening of energy efficiency </w:t>
      </w:r>
      <w:r w:rsidR="0069730C" w:rsidRPr="00B77CAC">
        <w:rPr>
          <w:rFonts w:asciiTheme="minorHAnsi" w:hAnsiTheme="minorHAnsi"/>
          <w:sz w:val="22"/>
          <w:szCs w:val="22"/>
        </w:rPr>
        <w:t xml:space="preserve">resources </w:t>
      </w:r>
      <w:r w:rsidR="00BD4695" w:rsidRPr="00B77CAC">
        <w:rPr>
          <w:rFonts w:asciiTheme="minorHAnsi" w:hAnsiTheme="minorHAnsi"/>
          <w:sz w:val="22"/>
          <w:szCs w:val="22"/>
        </w:rPr>
        <w:t xml:space="preserve">and the values for avoided energy costs, environmental compliance costs, other resource benefits, and </w:t>
      </w:r>
      <w:r w:rsidR="0069730C" w:rsidRPr="00B77CAC">
        <w:rPr>
          <w:rFonts w:asciiTheme="minorHAnsi" w:hAnsiTheme="minorHAnsi"/>
          <w:sz w:val="22"/>
          <w:szCs w:val="22"/>
        </w:rPr>
        <w:t>(</w:t>
      </w:r>
      <w:r w:rsidR="00BD4695" w:rsidRPr="00B77CAC">
        <w:rPr>
          <w:rFonts w:asciiTheme="minorHAnsi" w:hAnsiTheme="minorHAnsi"/>
          <w:sz w:val="22"/>
          <w:szCs w:val="22"/>
        </w:rPr>
        <w:t>still to be determined</w:t>
      </w:r>
      <w:r w:rsidR="0069730C" w:rsidRPr="00B77CAC">
        <w:rPr>
          <w:rFonts w:asciiTheme="minorHAnsi" w:hAnsiTheme="minorHAnsi"/>
          <w:sz w:val="22"/>
          <w:szCs w:val="22"/>
        </w:rPr>
        <w:t>)</w:t>
      </w:r>
      <w:r w:rsidR="00BD4695" w:rsidRPr="00B77CAC">
        <w:rPr>
          <w:rFonts w:asciiTheme="minorHAnsi" w:hAnsiTheme="minorHAnsi"/>
          <w:sz w:val="22"/>
          <w:szCs w:val="22"/>
        </w:rPr>
        <w:t xml:space="preserve"> non-energy benefits. </w:t>
      </w:r>
    </w:p>
    <w:p w:rsidR="00BD4695" w:rsidRPr="00B77CAC" w:rsidRDefault="00BD4695" w:rsidP="00D404E6">
      <w:pPr>
        <w:spacing w:line="276" w:lineRule="auto"/>
        <w:rPr>
          <w:rFonts w:asciiTheme="minorHAnsi" w:hAnsiTheme="minorHAnsi"/>
          <w:sz w:val="22"/>
          <w:szCs w:val="22"/>
        </w:rPr>
      </w:pPr>
    </w:p>
    <w:p w:rsidR="00BD4695" w:rsidRPr="00B77CAC" w:rsidRDefault="00963754" w:rsidP="00D404E6">
      <w:pPr>
        <w:spacing w:line="276" w:lineRule="auto"/>
        <w:rPr>
          <w:rFonts w:asciiTheme="minorHAnsi" w:hAnsiTheme="minorHAnsi"/>
          <w:sz w:val="22"/>
          <w:szCs w:val="22"/>
        </w:rPr>
      </w:pPr>
      <w:r w:rsidRPr="00B77CAC">
        <w:rPr>
          <w:rFonts w:asciiTheme="minorHAnsi" w:hAnsiTheme="minorHAnsi"/>
          <w:sz w:val="22"/>
          <w:szCs w:val="22"/>
        </w:rPr>
        <w:t xml:space="preserve">We offer comment on </w:t>
      </w:r>
      <w:r w:rsidR="0069730C" w:rsidRPr="00B77CAC">
        <w:rPr>
          <w:rFonts w:asciiTheme="minorHAnsi" w:hAnsiTheme="minorHAnsi"/>
          <w:sz w:val="22"/>
          <w:szCs w:val="22"/>
        </w:rPr>
        <w:t xml:space="preserve">key aspects </w:t>
      </w:r>
      <w:r w:rsidRPr="00B77CAC">
        <w:rPr>
          <w:rFonts w:asciiTheme="minorHAnsi" w:hAnsiTheme="minorHAnsi"/>
          <w:sz w:val="22"/>
          <w:szCs w:val="22"/>
        </w:rPr>
        <w:t xml:space="preserve">areas of the </w:t>
      </w:r>
      <w:r w:rsidR="0069730C" w:rsidRPr="00B77CAC">
        <w:rPr>
          <w:rFonts w:asciiTheme="minorHAnsi" w:hAnsiTheme="minorHAnsi"/>
          <w:sz w:val="22"/>
          <w:szCs w:val="22"/>
        </w:rPr>
        <w:t xml:space="preserve">Straw Proposal </w:t>
      </w:r>
      <w:r w:rsidRPr="00B77CAC">
        <w:rPr>
          <w:rFonts w:asciiTheme="minorHAnsi" w:hAnsiTheme="minorHAnsi"/>
          <w:sz w:val="22"/>
          <w:szCs w:val="22"/>
        </w:rPr>
        <w:t xml:space="preserve">for the Commission’s consideration </w:t>
      </w:r>
      <w:r w:rsidR="00D404E6" w:rsidRPr="00B77CAC">
        <w:rPr>
          <w:rFonts w:asciiTheme="minorHAnsi" w:hAnsiTheme="minorHAnsi"/>
          <w:sz w:val="22"/>
          <w:szCs w:val="22"/>
        </w:rPr>
        <w:t xml:space="preserve">as it </w:t>
      </w:r>
      <w:r w:rsidRPr="00B77CAC">
        <w:rPr>
          <w:rFonts w:asciiTheme="minorHAnsi" w:hAnsiTheme="minorHAnsi"/>
          <w:sz w:val="22"/>
          <w:szCs w:val="22"/>
        </w:rPr>
        <w:t>seeks</w:t>
      </w:r>
      <w:r w:rsidR="00D404E6" w:rsidRPr="00B77CAC">
        <w:rPr>
          <w:rFonts w:asciiTheme="minorHAnsi" w:hAnsiTheme="minorHAnsi"/>
          <w:sz w:val="22"/>
          <w:szCs w:val="22"/>
        </w:rPr>
        <w:t xml:space="preserve"> to apply this framework to the </w:t>
      </w:r>
      <w:proofErr w:type="spellStart"/>
      <w:r w:rsidR="00D404E6" w:rsidRPr="00B77CAC">
        <w:rPr>
          <w:rFonts w:asciiTheme="minorHAnsi" w:hAnsiTheme="minorHAnsi"/>
          <w:sz w:val="22"/>
          <w:szCs w:val="22"/>
        </w:rPr>
        <w:t>EmPOWER</w:t>
      </w:r>
      <w:proofErr w:type="spellEnd"/>
      <w:r w:rsidR="00D404E6" w:rsidRPr="00B77CAC">
        <w:rPr>
          <w:rFonts w:asciiTheme="minorHAnsi" w:hAnsiTheme="minorHAnsi"/>
          <w:sz w:val="22"/>
          <w:szCs w:val="22"/>
        </w:rPr>
        <w:t xml:space="preserve"> programs:</w:t>
      </w:r>
    </w:p>
    <w:p w:rsidR="00BD4695" w:rsidRPr="00B77CAC" w:rsidRDefault="00BD4695" w:rsidP="00D404E6">
      <w:pPr>
        <w:spacing w:line="276" w:lineRule="auto"/>
        <w:rPr>
          <w:rFonts w:asciiTheme="minorHAnsi" w:hAnsiTheme="minorHAnsi"/>
          <w:b/>
          <w:sz w:val="22"/>
          <w:szCs w:val="22"/>
        </w:rPr>
      </w:pPr>
    </w:p>
    <w:p w:rsidR="00BD4695" w:rsidRPr="00B77CAC" w:rsidRDefault="00BD4695" w:rsidP="00D404E6">
      <w:pPr>
        <w:pStyle w:val="ListParagraph"/>
        <w:numPr>
          <w:ilvl w:val="0"/>
          <w:numId w:val="1"/>
        </w:numPr>
        <w:rPr>
          <w:rFonts w:asciiTheme="minorHAnsi" w:hAnsiTheme="minorHAnsi"/>
        </w:rPr>
      </w:pPr>
      <w:r w:rsidRPr="00B77CAC">
        <w:rPr>
          <w:rFonts w:asciiTheme="minorHAnsi" w:hAnsiTheme="minorHAnsi"/>
          <w:b/>
        </w:rPr>
        <w:t>Scenario Analysis</w:t>
      </w:r>
      <w:r w:rsidRPr="00B77CAC">
        <w:rPr>
          <w:rFonts w:asciiTheme="minorHAnsi" w:hAnsiTheme="minorHAnsi"/>
        </w:rPr>
        <w:t xml:space="preserve">: The inclusion of three scenarios (the Business as Usual, Expanded Case, and Aggressive Case) in cost-effectiveness screening is a useful way to show how different cost-effectiveness screening </w:t>
      </w:r>
      <w:r w:rsidR="00D404E6" w:rsidRPr="00B77CAC">
        <w:rPr>
          <w:rFonts w:asciiTheme="minorHAnsi" w:hAnsiTheme="minorHAnsi"/>
        </w:rPr>
        <w:t>methods</w:t>
      </w:r>
      <w:r w:rsidRPr="00B77CAC">
        <w:rPr>
          <w:rFonts w:asciiTheme="minorHAnsi" w:hAnsiTheme="minorHAnsi"/>
        </w:rPr>
        <w:t xml:space="preserve"> impact the </w:t>
      </w:r>
      <w:r w:rsidR="0069730C" w:rsidRPr="00B77CAC">
        <w:rPr>
          <w:rFonts w:asciiTheme="minorHAnsi" w:hAnsiTheme="minorHAnsi"/>
        </w:rPr>
        <w:t>cost-effectiveness of a portfolio of</w:t>
      </w:r>
      <w:r w:rsidRPr="00B77CAC">
        <w:rPr>
          <w:rFonts w:asciiTheme="minorHAnsi" w:hAnsiTheme="minorHAnsi"/>
        </w:rPr>
        <w:t xml:space="preserve"> energy efficiency programs. This will help provide meaningful information to the Commission </w:t>
      </w:r>
      <w:r w:rsidR="00963754" w:rsidRPr="00B77CAC">
        <w:rPr>
          <w:rFonts w:asciiTheme="minorHAnsi" w:hAnsiTheme="minorHAnsi"/>
        </w:rPr>
        <w:t xml:space="preserve">as it determines which </w:t>
      </w:r>
      <w:r w:rsidR="0069730C" w:rsidRPr="00B77CAC">
        <w:rPr>
          <w:rFonts w:asciiTheme="minorHAnsi" w:hAnsiTheme="minorHAnsi"/>
        </w:rPr>
        <w:t xml:space="preserve">such portfolios </w:t>
      </w:r>
      <w:r w:rsidR="00963754" w:rsidRPr="00B77CAC">
        <w:rPr>
          <w:rFonts w:asciiTheme="minorHAnsi" w:hAnsiTheme="minorHAnsi"/>
        </w:rPr>
        <w:t>are in the public interest.</w:t>
      </w:r>
    </w:p>
    <w:p w:rsidR="00BD4695" w:rsidRPr="00B77CAC" w:rsidRDefault="00BD4695" w:rsidP="00D404E6">
      <w:pPr>
        <w:pStyle w:val="ListParagraph"/>
        <w:spacing w:after="0"/>
        <w:rPr>
          <w:rFonts w:asciiTheme="minorHAnsi" w:hAnsiTheme="minorHAnsi"/>
        </w:rPr>
      </w:pPr>
    </w:p>
    <w:p w:rsidR="00BD4695" w:rsidRPr="00B77CAC" w:rsidRDefault="00BD4695" w:rsidP="00B77CAC">
      <w:pPr>
        <w:pStyle w:val="ListParagraph"/>
        <w:spacing w:after="0"/>
        <w:ind w:left="360"/>
        <w:rPr>
          <w:rFonts w:asciiTheme="minorHAnsi" w:hAnsiTheme="minorHAnsi"/>
        </w:rPr>
      </w:pPr>
      <w:r w:rsidRPr="00B77CAC">
        <w:rPr>
          <w:rFonts w:asciiTheme="minorHAnsi" w:hAnsiTheme="minorHAnsi"/>
        </w:rPr>
        <w:t xml:space="preserve">We note that the “Aggressive Case” should not be considered unattainable or not cost-effective by default. Many states in the Northeast and Mid-Atlantic are pursuing aggressive savings levels above the 1.5 percent in electric savings Maryland achieved last year, with programs that remain cost-effective. </w:t>
      </w:r>
      <w:r w:rsidR="00D404E6" w:rsidRPr="00B77CAC">
        <w:rPr>
          <w:rFonts w:asciiTheme="minorHAnsi" w:hAnsiTheme="minorHAnsi"/>
        </w:rPr>
        <w:t>Core</w:t>
      </w:r>
      <w:r w:rsidRPr="00B77CAC">
        <w:rPr>
          <w:rFonts w:asciiTheme="minorHAnsi" w:hAnsiTheme="minorHAnsi"/>
        </w:rPr>
        <w:t xml:space="preserve"> elements of the Aggressive Case, such as a Societal Cost test and a Societal Discount Rate</w:t>
      </w:r>
      <w:r w:rsidR="0069730C" w:rsidRPr="00B77CAC">
        <w:rPr>
          <w:rFonts w:asciiTheme="minorHAnsi" w:hAnsiTheme="minorHAnsi"/>
        </w:rPr>
        <w:t>,</w:t>
      </w:r>
      <w:r w:rsidRPr="00B77CAC">
        <w:rPr>
          <w:rFonts w:asciiTheme="minorHAnsi" w:hAnsiTheme="minorHAnsi"/>
        </w:rPr>
        <w:t xml:space="preserve"> are </w:t>
      </w:r>
      <w:r w:rsidR="0069730C" w:rsidRPr="00B77CAC">
        <w:rPr>
          <w:rFonts w:asciiTheme="minorHAnsi" w:hAnsiTheme="minorHAnsi"/>
        </w:rPr>
        <w:t>common practice</w:t>
      </w:r>
      <w:r w:rsidRPr="00B77CAC">
        <w:rPr>
          <w:rFonts w:asciiTheme="minorHAnsi" w:hAnsiTheme="minorHAnsi"/>
        </w:rPr>
        <w:t xml:space="preserve"> </w:t>
      </w:r>
      <w:r w:rsidR="0069730C" w:rsidRPr="00B77CAC">
        <w:rPr>
          <w:rFonts w:asciiTheme="minorHAnsi" w:hAnsiTheme="minorHAnsi"/>
        </w:rPr>
        <w:t>among</w:t>
      </w:r>
      <w:r w:rsidRPr="00B77CAC">
        <w:rPr>
          <w:rFonts w:asciiTheme="minorHAnsi" w:hAnsiTheme="minorHAnsi"/>
        </w:rPr>
        <w:t xml:space="preserve"> the Northeast and Mid-Atlantic states. Vermont and Washington, D.C. use the Societal Cost test, for example, while Delaware, Massachusetts, </w:t>
      </w:r>
      <w:r w:rsidR="00D404E6" w:rsidRPr="00B77CAC">
        <w:rPr>
          <w:rFonts w:asciiTheme="minorHAnsi" w:hAnsiTheme="minorHAnsi"/>
        </w:rPr>
        <w:t xml:space="preserve">New Hampshire, </w:t>
      </w:r>
      <w:r w:rsidRPr="00B77CAC">
        <w:rPr>
          <w:rFonts w:asciiTheme="minorHAnsi" w:hAnsiTheme="minorHAnsi"/>
        </w:rPr>
        <w:t>Rhode Island, Washington,</w:t>
      </w:r>
      <w:r w:rsidR="00D404E6" w:rsidRPr="00B77CAC">
        <w:rPr>
          <w:rFonts w:asciiTheme="minorHAnsi" w:hAnsiTheme="minorHAnsi"/>
        </w:rPr>
        <w:t xml:space="preserve"> D.C.,</w:t>
      </w:r>
      <w:r w:rsidRPr="00B77CAC">
        <w:rPr>
          <w:rFonts w:asciiTheme="minorHAnsi" w:hAnsiTheme="minorHAnsi"/>
        </w:rPr>
        <w:t xml:space="preserve"> Vermont all use a societal discount rate. </w:t>
      </w:r>
      <w:r w:rsidR="00963754" w:rsidRPr="00B77CAC">
        <w:rPr>
          <w:rFonts w:asciiTheme="minorHAnsi" w:hAnsiTheme="minorHAnsi"/>
          <w:i/>
        </w:rPr>
        <w:t>(</w:t>
      </w:r>
      <w:r w:rsidRPr="00B77CAC">
        <w:rPr>
          <w:rFonts w:asciiTheme="minorHAnsi" w:hAnsiTheme="minorHAnsi"/>
          <w:i/>
        </w:rPr>
        <w:t xml:space="preserve">See a summary of state practices </w:t>
      </w:r>
      <w:r w:rsidR="00963754" w:rsidRPr="00B77CAC">
        <w:rPr>
          <w:rFonts w:asciiTheme="minorHAnsi" w:hAnsiTheme="minorHAnsi"/>
          <w:i/>
        </w:rPr>
        <w:t>in Synapse Energy Economics for the Northeast Energy Efficiency Partnerships Regional Evaluation, Measurement, and Verification (EM&amp;V) Forum, “</w:t>
      </w:r>
      <w:r w:rsidR="00963754" w:rsidRPr="00B77CAC">
        <w:rPr>
          <w:rFonts w:asciiTheme="minorHAnsi" w:hAnsiTheme="minorHAnsi"/>
          <w:i/>
          <w:iCs/>
        </w:rPr>
        <w:t>Energy Efficiency Cost-Effectiveness Screening Practices in the Northeast and Mid-Atlantic States</w:t>
      </w:r>
      <w:r w:rsidR="00963754" w:rsidRPr="00B77CAC">
        <w:rPr>
          <w:rFonts w:asciiTheme="minorHAnsi" w:hAnsiTheme="minorHAnsi"/>
          <w:i/>
        </w:rPr>
        <w:t xml:space="preserve">,” October 2, 2013, Table 2, p. 9, available at </w:t>
      </w:r>
      <w:r w:rsidR="00963754" w:rsidRPr="00B77CAC">
        <w:rPr>
          <w:rFonts w:asciiTheme="minorHAnsi" w:hAnsiTheme="minorHAnsi"/>
          <w:i/>
        </w:rPr>
        <w:lastRenderedPageBreak/>
        <w:t>http://www.neep.org/Assets/uploads/files/emv/emv-rfp/emv-products/EMV_Forum_C-E-Testing_Report_Synapse_2013%2010%2002%20Final.pdf</w:t>
      </w:r>
      <w:r w:rsidRPr="00B77CAC">
        <w:rPr>
          <w:rFonts w:asciiTheme="minorHAnsi" w:hAnsiTheme="minorHAnsi"/>
          <w:i/>
        </w:rPr>
        <w:t>)</w:t>
      </w:r>
      <w:r w:rsidRPr="00B77CAC">
        <w:rPr>
          <w:rFonts w:asciiTheme="minorHAnsi" w:hAnsiTheme="minorHAnsi"/>
        </w:rPr>
        <w:t>.</w:t>
      </w:r>
    </w:p>
    <w:p w:rsidR="00BD4695" w:rsidRPr="00B77CAC" w:rsidRDefault="00BD4695" w:rsidP="00D404E6">
      <w:pPr>
        <w:pStyle w:val="ListParagraph"/>
        <w:spacing w:after="0"/>
        <w:rPr>
          <w:rFonts w:asciiTheme="minorHAnsi" w:hAnsiTheme="minorHAnsi"/>
        </w:rPr>
      </w:pPr>
    </w:p>
    <w:p w:rsidR="00BD4695" w:rsidRPr="00B77CAC" w:rsidRDefault="00BD4695" w:rsidP="00B77CAC">
      <w:pPr>
        <w:pStyle w:val="ListParagraph"/>
        <w:numPr>
          <w:ilvl w:val="0"/>
          <w:numId w:val="1"/>
        </w:numPr>
        <w:spacing w:after="0"/>
        <w:rPr>
          <w:rFonts w:asciiTheme="minorHAnsi" w:hAnsiTheme="minorHAnsi"/>
        </w:rPr>
      </w:pPr>
      <w:r w:rsidRPr="00B77CAC">
        <w:rPr>
          <w:rFonts w:asciiTheme="minorHAnsi" w:hAnsiTheme="minorHAnsi"/>
          <w:b/>
        </w:rPr>
        <w:t xml:space="preserve">Ratepayer Impact Measure (RIM): </w:t>
      </w:r>
      <w:r w:rsidR="00D404E6" w:rsidRPr="00B77CAC">
        <w:rPr>
          <w:rFonts w:asciiTheme="minorHAnsi" w:hAnsiTheme="minorHAnsi"/>
        </w:rPr>
        <w:t xml:space="preserve">The </w:t>
      </w:r>
      <w:r w:rsidR="0069730C" w:rsidRPr="00B77CAC">
        <w:rPr>
          <w:rFonts w:asciiTheme="minorHAnsi" w:hAnsiTheme="minorHAnsi"/>
        </w:rPr>
        <w:t>Straw Proposal</w:t>
      </w:r>
      <w:r w:rsidRPr="00B77CAC">
        <w:rPr>
          <w:rFonts w:asciiTheme="minorHAnsi" w:hAnsiTheme="minorHAnsi"/>
        </w:rPr>
        <w:t xml:space="preserve"> </w:t>
      </w:r>
      <w:r w:rsidR="0069730C" w:rsidRPr="00B77CAC">
        <w:rPr>
          <w:rFonts w:asciiTheme="minorHAnsi" w:hAnsiTheme="minorHAnsi"/>
        </w:rPr>
        <w:t>offers</w:t>
      </w:r>
      <w:r w:rsidR="00D404E6" w:rsidRPr="00B77CAC">
        <w:rPr>
          <w:rFonts w:asciiTheme="minorHAnsi" w:hAnsiTheme="minorHAnsi"/>
        </w:rPr>
        <w:t xml:space="preserve"> robust cost-effectiveness screening method that </w:t>
      </w:r>
      <w:r w:rsidR="00963754" w:rsidRPr="00B77CAC">
        <w:rPr>
          <w:rFonts w:asciiTheme="minorHAnsi" w:hAnsiTheme="minorHAnsi"/>
        </w:rPr>
        <w:t>examines</w:t>
      </w:r>
      <w:r w:rsidR="00D404E6" w:rsidRPr="00B77CAC">
        <w:rPr>
          <w:rFonts w:asciiTheme="minorHAnsi" w:hAnsiTheme="minorHAnsi"/>
        </w:rPr>
        <w:t xml:space="preserve"> energy efficiency investments from a variety of perspectives, ultimately </w:t>
      </w:r>
      <w:r w:rsidR="0069730C" w:rsidRPr="00B77CAC">
        <w:rPr>
          <w:rFonts w:asciiTheme="minorHAnsi" w:hAnsiTheme="minorHAnsi"/>
        </w:rPr>
        <w:t xml:space="preserve">incorporating </w:t>
      </w:r>
      <w:r w:rsidR="00D404E6" w:rsidRPr="00B77CAC">
        <w:rPr>
          <w:rFonts w:asciiTheme="minorHAnsi" w:hAnsiTheme="minorHAnsi"/>
        </w:rPr>
        <w:t>five screening tests.</w:t>
      </w:r>
      <w:r w:rsidRPr="00B77CAC">
        <w:rPr>
          <w:rFonts w:asciiTheme="minorHAnsi" w:hAnsiTheme="minorHAnsi"/>
        </w:rPr>
        <w:t xml:space="preserve"> </w:t>
      </w:r>
      <w:r w:rsidR="00D404E6" w:rsidRPr="00B77CAC">
        <w:rPr>
          <w:rFonts w:asciiTheme="minorHAnsi" w:hAnsiTheme="minorHAnsi"/>
        </w:rPr>
        <w:t>In our view, however,</w:t>
      </w:r>
      <w:r w:rsidRPr="00B77CAC">
        <w:rPr>
          <w:rFonts w:asciiTheme="minorHAnsi" w:hAnsiTheme="minorHAnsi"/>
        </w:rPr>
        <w:t xml:space="preserve"> the Ratepayer Impact Measure (RIM) test is unnecessary and does not provide useful information to the Commission </w:t>
      </w:r>
      <w:r w:rsidR="00963754" w:rsidRPr="00B77CAC">
        <w:rPr>
          <w:rFonts w:asciiTheme="minorHAnsi" w:hAnsiTheme="minorHAnsi"/>
        </w:rPr>
        <w:t>about</w:t>
      </w:r>
      <w:r w:rsidRPr="00B77CAC">
        <w:rPr>
          <w:rFonts w:asciiTheme="minorHAnsi" w:hAnsiTheme="minorHAnsi"/>
        </w:rPr>
        <w:t xml:space="preserve"> cost-effectiveness. Few states make use of the RIM test as a part of their cost-effectiveness screening. </w:t>
      </w:r>
      <w:r w:rsidR="00D404E6" w:rsidRPr="00B77CAC">
        <w:rPr>
          <w:rFonts w:asciiTheme="minorHAnsi" w:hAnsiTheme="minorHAnsi"/>
        </w:rPr>
        <w:t xml:space="preserve">Better information about </w:t>
      </w:r>
      <w:r w:rsidR="00963754" w:rsidRPr="00B77CAC">
        <w:rPr>
          <w:rFonts w:asciiTheme="minorHAnsi" w:hAnsiTheme="minorHAnsi"/>
        </w:rPr>
        <w:t xml:space="preserve">the </w:t>
      </w:r>
      <w:r w:rsidR="00D404E6" w:rsidRPr="00B77CAC">
        <w:rPr>
          <w:rFonts w:asciiTheme="minorHAnsi" w:hAnsiTheme="minorHAnsi"/>
        </w:rPr>
        <w:t xml:space="preserve">rate and equity implications of program portfolios can be gained through thorough </w:t>
      </w:r>
      <w:r w:rsidR="00963754" w:rsidRPr="00B77CAC">
        <w:rPr>
          <w:rFonts w:asciiTheme="minorHAnsi" w:hAnsiTheme="minorHAnsi"/>
        </w:rPr>
        <w:t xml:space="preserve">bill impact analysis </w:t>
      </w:r>
      <w:r w:rsidR="00D404E6" w:rsidRPr="00B77CAC">
        <w:rPr>
          <w:rFonts w:asciiTheme="minorHAnsi" w:hAnsiTheme="minorHAnsi"/>
        </w:rPr>
        <w:t xml:space="preserve">of </w:t>
      </w:r>
      <w:proofErr w:type="spellStart"/>
      <w:r w:rsidR="00D404E6" w:rsidRPr="00B77CAC">
        <w:rPr>
          <w:rFonts w:asciiTheme="minorHAnsi" w:hAnsiTheme="minorHAnsi"/>
        </w:rPr>
        <w:t>EmPOWER</w:t>
      </w:r>
      <w:proofErr w:type="spellEnd"/>
      <w:r w:rsidR="00D404E6" w:rsidRPr="00B77CAC">
        <w:rPr>
          <w:rFonts w:asciiTheme="minorHAnsi" w:hAnsiTheme="minorHAnsi"/>
        </w:rPr>
        <w:t xml:space="preserve"> programs after cost-effectiveness screening has been completed. We suggest that the Commission give the greatest weight to the PAC, TRC, and SCT tests</w:t>
      </w:r>
      <w:r w:rsidR="00963754" w:rsidRPr="00B77CAC">
        <w:rPr>
          <w:rFonts w:asciiTheme="minorHAnsi" w:hAnsiTheme="minorHAnsi"/>
        </w:rPr>
        <w:t>.</w:t>
      </w:r>
    </w:p>
    <w:p w:rsidR="00BD4695" w:rsidRPr="00B77CAC" w:rsidRDefault="00BD4695" w:rsidP="00D404E6">
      <w:pPr>
        <w:pStyle w:val="ListParagraph"/>
        <w:spacing w:after="0"/>
        <w:rPr>
          <w:rFonts w:asciiTheme="minorHAnsi" w:hAnsiTheme="minorHAnsi"/>
        </w:rPr>
      </w:pPr>
    </w:p>
    <w:p w:rsidR="00BD4695" w:rsidRPr="00B77CAC" w:rsidRDefault="00BD4695" w:rsidP="00D404E6">
      <w:pPr>
        <w:pStyle w:val="ListParagraph"/>
        <w:numPr>
          <w:ilvl w:val="0"/>
          <w:numId w:val="1"/>
        </w:numPr>
        <w:spacing w:after="0"/>
        <w:rPr>
          <w:rFonts w:asciiTheme="minorHAnsi" w:hAnsiTheme="minorHAnsi"/>
        </w:rPr>
      </w:pPr>
      <w:r w:rsidRPr="00B77CAC">
        <w:rPr>
          <w:rFonts w:asciiTheme="minorHAnsi" w:hAnsiTheme="minorHAnsi"/>
          <w:b/>
        </w:rPr>
        <w:t>Non-Energy Benefits</w:t>
      </w:r>
      <w:r w:rsidRPr="00B77CAC">
        <w:rPr>
          <w:rFonts w:asciiTheme="minorHAnsi" w:hAnsiTheme="minorHAnsi"/>
        </w:rPr>
        <w:t xml:space="preserve">: The </w:t>
      </w:r>
      <w:r w:rsidR="00D404E6" w:rsidRPr="00B77CAC">
        <w:rPr>
          <w:rFonts w:asciiTheme="minorHAnsi" w:hAnsiTheme="minorHAnsi"/>
        </w:rPr>
        <w:t xml:space="preserve">final draft </w:t>
      </w:r>
      <w:r w:rsidRPr="00B77CAC">
        <w:rPr>
          <w:rFonts w:asciiTheme="minorHAnsi" w:hAnsiTheme="minorHAnsi"/>
        </w:rPr>
        <w:t xml:space="preserve">version of the Straw Proposal did not include a list of specific non-energy benefits to be included in the PAC, TRC, and Societal tests. Given that the Straw Proposal </w:t>
      </w:r>
      <w:r w:rsidR="0069730C" w:rsidRPr="00B77CAC">
        <w:rPr>
          <w:rFonts w:asciiTheme="minorHAnsi" w:hAnsiTheme="minorHAnsi"/>
        </w:rPr>
        <w:t>proposing using</w:t>
      </w:r>
      <w:r w:rsidRPr="00B77CAC">
        <w:rPr>
          <w:rFonts w:asciiTheme="minorHAnsi" w:hAnsiTheme="minorHAnsi"/>
        </w:rPr>
        <w:t xml:space="preserve"> the TRC test as the primary </w:t>
      </w:r>
      <w:r w:rsidR="00D404E6" w:rsidRPr="00B77CAC">
        <w:rPr>
          <w:rFonts w:asciiTheme="minorHAnsi" w:hAnsiTheme="minorHAnsi"/>
        </w:rPr>
        <w:t>test</w:t>
      </w:r>
      <w:r w:rsidRPr="00B77CAC">
        <w:rPr>
          <w:rFonts w:asciiTheme="minorHAnsi" w:hAnsiTheme="minorHAnsi"/>
        </w:rPr>
        <w:t>, the Working Group ha</w:t>
      </w:r>
      <w:r w:rsidR="00D404E6" w:rsidRPr="00B77CAC">
        <w:rPr>
          <w:rFonts w:asciiTheme="minorHAnsi" w:hAnsiTheme="minorHAnsi"/>
        </w:rPr>
        <w:t>s had</w:t>
      </w:r>
      <w:r w:rsidRPr="00B77CAC">
        <w:rPr>
          <w:rFonts w:asciiTheme="minorHAnsi" w:hAnsiTheme="minorHAnsi"/>
        </w:rPr>
        <w:t xml:space="preserve"> substantial discussion of how to account for both participant costs and key non-energy benefits</w:t>
      </w:r>
      <w:r w:rsidR="00D404E6" w:rsidRPr="00B77CAC">
        <w:rPr>
          <w:rFonts w:asciiTheme="minorHAnsi" w:hAnsiTheme="minorHAnsi"/>
        </w:rPr>
        <w:t xml:space="preserve"> (NEBs)</w:t>
      </w:r>
      <w:r w:rsidRPr="00B77CAC">
        <w:rPr>
          <w:rFonts w:asciiTheme="minorHAnsi" w:hAnsiTheme="minorHAnsi"/>
        </w:rPr>
        <w:t xml:space="preserve"> that compel participants to invest in energy efficiency measures. </w:t>
      </w:r>
      <w:r w:rsidR="00D404E6" w:rsidRPr="00B77CAC">
        <w:rPr>
          <w:rFonts w:asciiTheme="minorHAnsi" w:hAnsiTheme="minorHAnsi"/>
        </w:rPr>
        <w:t>The NEEP survey shows that the majority of states in our region</w:t>
      </w:r>
      <w:r w:rsidR="00963754" w:rsidRPr="00B77CAC">
        <w:rPr>
          <w:rFonts w:asciiTheme="minorHAnsi" w:hAnsiTheme="minorHAnsi"/>
        </w:rPr>
        <w:t>s</w:t>
      </w:r>
      <w:r w:rsidR="00D404E6" w:rsidRPr="00B77CAC">
        <w:rPr>
          <w:rFonts w:asciiTheme="minorHAnsi" w:hAnsiTheme="minorHAnsi"/>
        </w:rPr>
        <w:t xml:space="preserve"> </w:t>
      </w:r>
      <w:r w:rsidR="00963754" w:rsidRPr="00B77CAC">
        <w:rPr>
          <w:rFonts w:asciiTheme="minorHAnsi" w:hAnsiTheme="minorHAnsi"/>
        </w:rPr>
        <w:t>that use the</w:t>
      </w:r>
      <w:r w:rsidR="00D404E6" w:rsidRPr="00B77CAC">
        <w:rPr>
          <w:rFonts w:asciiTheme="minorHAnsi" w:hAnsiTheme="minorHAnsi"/>
        </w:rPr>
        <w:t xml:space="preserve"> TRC </w:t>
      </w:r>
      <w:r w:rsidR="00963754" w:rsidRPr="00B77CAC">
        <w:rPr>
          <w:rFonts w:asciiTheme="minorHAnsi" w:hAnsiTheme="minorHAnsi"/>
        </w:rPr>
        <w:t xml:space="preserve">test </w:t>
      </w:r>
      <w:r w:rsidR="00D404E6" w:rsidRPr="00B77CAC">
        <w:rPr>
          <w:rFonts w:asciiTheme="minorHAnsi" w:hAnsiTheme="minorHAnsi"/>
        </w:rPr>
        <w:t>include at least some participant NEBs as part of their screening, including Delaware, Massachusetts, New Hampshire, and Rhode Island. Washington D.C. and Vermont also include participant NEBs as part of their Societal Cost test through a</w:t>
      </w:r>
      <w:r w:rsidR="00963754" w:rsidRPr="00B77CAC">
        <w:rPr>
          <w:rFonts w:asciiTheme="minorHAnsi" w:hAnsiTheme="minorHAnsi"/>
        </w:rPr>
        <w:t xml:space="preserve"> percentage</w:t>
      </w:r>
      <w:r w:rsidR="00D404E6" w:rsidRPr="00B77CAC">
        <w:rPr>
          <w:rFonts w:asciiTheme="minorHAnsi" w:hAnsiTheme="minorHAnsi"/>
        </w:rPr>
        <w:t xml:space="preserve"> adder</w:t>
      </w:r>
      <w:r w:rsidR="0069730C" w:rsidRPr="00B77CAC">
        <w:rPr>
          <w:rFonts w:asciiTheme="minorHAnsi" w:hAnsiTheme="minorHAnsi"/>
        </w:rPr>
        <w:t xml:space="preserve"> (</w:t>
      </w:r>
      <w:r w:rsidR="0069730C" w:rsidRPr="00B77CAC">
        <w:rPr>
          <w:rFonts w:asciiTheme="minorHAnsi" w:hAnsiTheme="minorHAnsi"/>
          <w:i/>
        </w:rPr>
        <w:t>NEEP/Synapse Survey, Table 2, p.9)</w:t>
      </w:r>
      <w:r w:rsidR="00D404E6" w:rsidRPr="00B77CAC">
        <w:rPr>
          <w:rFonts w:asciiTheme="minorHAnsi" w:hAnsiTheme="minorHAnsi"/>
        </w:rPr>
        <w:t>.</w:t>
      </w:r>
      <w:r w:rsidR="00963754" w:rsidRPr="00B77CAC">
        <w:rPr>
          <w:rFonts w:asciiTheme="minorHAnsi" w:hAnsiTheme="minorHAnsi"/>
        </w:rPr>
        <w:t xml:space="preserve"> Though not in the survey, Maine also accounts for some NEBs in its version of the TRC and New York plans to update its cost-effectiveness screening to account for certain NEBs as well</w:t>
      </w:r>
      <w:r w:rsidR="0069730C" w:rsidRPr="00B77CAC">
        <w:rPr>
          <w:rFonts w:asciiTheme="minorHAnsi" w:hAnsiTheme="minorHAnsi"/>
          <w:i/>
        </w:rPr>
        <w:t>.</w:t>
      </w:r>
    </w:p>
    <w:p w:rsidR="00BD4695" w:rsidRPr="00B77CAC" w:rsidRDefault="00BD4695" w:rsidP="00D404E6">
      <w:pPr>
        <w:pStyle w:val="ListParagraph"/>
        <w:rPr>
          <w:rFonts w:asciiTheme="minorHAnsi" w:hAnsiTheme="minorHAnsi"/>
        </w:rPr>
      </w:pPr>
    </w:p>
    <w:p w:rsidR="00BD4695" w:rsidRPr="00B77CAC" w:rsidRDefault="00BD4695" w:rsidP="00D168C9">
      <w:pPr>
        <w:pStyle w:val="ListParagraph"/>
        <w:spacing w:after="0"/>
        <w:ind w:left="360"/>
        <w:rPr>
          <w:rFonts w:asciiTheme="minorHAnsi" w:hAnsiTheme="minorHAnsi"/>
        </w:rPr>
      </w:pPr>
      <w:r w:rsidRPr="00B77CAC">
        <w:rPr>
          <w:rFonts w:asciiTheme="minorHAnsi" w:hAnsiTheme="minorHAnsi"/>
        </w:rPr>
        <w:t xml:space="preserve">In the final NEBs discussion, </w:t>
      </w:r>
      <w:proofErr w:type="spellStart"/>
      <w:r w:rsidRPr="00B77CAC">
        <w:rPr>
          <w:rFonts w:asciiTheme="minorHAnsi" w:hAnsiTheme="minorHAnsi"/>
        </w:rPr>
        <w:t>Itron</w:t>
      </w:r>
      <w:proofErr w:type="spellEnd"/>
      <w:r w:rsidRPr="00B77CAC">
        <w:rPr>
          <w:rFonts w:asciiTheme="minorHAnsi" w:hAnsiTheme="minorHAnsi"/>
        </w:rPr>
        <w:t xml:space="preserve"> </w:t>
      </w:r>
      <w:r w:rsidR="00D404E6" w:rsidRPr="00B77CAC">
        <w:rPr>
          <w:rFonts w:asciiTheme="minorHAnsi" w:hAnsiTheme="minorHAnsi"/>
        </w:rPr>
        <w:t>presented a recommended</w:t>
      </w:r>
      <w:r w:rsidRPr="00B77CAC">
        <w:rPr>
          <w:rFonts w:asciiTheme="minorHAnsi" w:hAnsiTheme="minorHAnsi"/>
        </w:rPr>
        <w:t xml:space="preserve"> </w:t>
      </w:r>
      <w:r w:rsidR="00D404E6" w:rsidRPr="00B77CAC">
        <w:rPr>
          <w:rFonts w:asciiTheme="minorHAnsi" w:hAnsiTheme="minorHAnsi"/>
        </w:rPr>
        <w:t>set of</w:t>
      </w:r>
      <w:r w:rsidRPr="00B77CAC">
        <w:rPr>
          <w:rFonts w:asciiTheme="minorHAnsi" w:hAnsiTheme="minorHAnsi"/>
        </w:rPr>
        <w:t xml:space="preserve"> specific values for non-energy benefits, including CO2 and air emissions reductions, participant health, safety, and comfort, and reduced operations and maintenance expenses. The approach </w:t>
      </w:r>
      <w:proofErr w:type="spellStart"/>
      <w:r w:rsidRPr="00B77CAC">
        <w:rPr>
          <w:rFonts w:asciiTheme="minorHAnsi" w:hAnsiTheme="minorHAnsi"/>
        </w:rPr>
        <w:t>Itron</w:t>
      </w:r>
      <w:proofErr w:type="spellEnd"/>
      <w:r w:rsidRPr="00B77CAC">
        <w:rPr>
          <w:rFonts w:asciiTheme="minorHAnsi" w:hAnsiTheme="minorHAnsi"/>
        </w:rPr>
        <w:t xml:space="preserve"> </w:t>
      </w:r>
      <w:r w:rsidR="00963754" w:rsidRPr="00B77CAC">
        <w:rPr>
          <w:rFonts w:asciiTheme="minorHAnsi" w:hAnsiTheme="minorHAnsi"/>
        </w:rPr>
        <w:t>takes is sound</w:t>
      </w:r>
      <w:r w:rsidRPr="00B77CAC">
        <w:rPr>
          <w:rFonts w:asciiTheme="minorHAnsi" w:hAnsiTheme="minorHAnsi"/>
        </w:rPr>
        <w:t xml:space="preserve">, based upon a significant body of respected academic and </w:t>
      </w:r>
      <w:r w:rsidR="00D404E6" w:rsidRPr="00B77CAC">
        <w:rPr>
          <w:rFonts w:asciiTheme="minorHAnsi" w:hAnsiTheme="minorHAnsi"/>
        </w:rPr>
        <w:t>industry research</w:t>
      </w:r>
      <w:r w:rsidR="00963754" w:rsidRPr="00B77CAC">
        <w:rPr>
          <w:rFonts w:asciiTheme="minorHAnsi" w:hAnsiTheme="minorHAnsi"/>
        </w:rPr>
        <w:t xml:space="preserve"> and feedback from Working Group members. There is a strong basis for including these selected participant and societal NEB values in Maryland’s cost-effectiveness screening framework in light of their </w:t>
      </w:r>
      <w:r w:rsidR="00D404E6" w:rsidRPr="00B77CAC">
        <w:rPr>
          <w:rFonts w:asciiTheme="minorHAnsi" w:hAnsiTheme="minorHAnsi"/>
        </w:rPr>
        <w:t>relevance to the TRC and Maryland’s public policy goals</w:t>
      </w:r>
      <w:r w:rsidRPr="00B77CAC">
        <w:rPr>
          <w:rFonts w:asciiTheme="minorHAnsi" w:hAnsiTheme="minorHAnsi"/>
        </w:rPr>
        <w:t xml:space="preserve">. </w:t>
      </w:r>
      <w:r w:rsidR="0069730C" w:rsidRPr="00B77CAC">
        <w:rPr>
          <w:rFonts w:asciiTheme="minorHAnsi" w:hAnsiTheme="minorHAnsi"/>
        </w:rPr>
        <w:t>That said, t</w:t>
      </w:r>
      <w:r w:rsidRPr="00B77CAC">
        <w:rPr>
          <w:rFonts w:asciiTheme="minorHAnsi" w:hAnsiTheme="minorHAnsi"/>
        </w:rPr>
        <w:t xml:space="preserve">he Working Group </w:t>
      </w:r>
      <w:r w:rsidR="00963754" w:rsidRPr="00B77CAC">
        <w:rPr>
          <w:rFonts w:asciiTheme="minorHAnsi" w:hAnsiTheme="minorHAnsi"/>
        </w:rPr>
        <w:t xml:space="preserve">can and </w:t>
      </w:r>
      <w:r w:rsidRPr="00B77CAC">
        <w:rPr>
          <w:rFonts w:asciiTheme="minorHAnsi" w:hAnsiTheme="minorHAnsi"/>
        </w:rPr>
        <w:t xml:space="preserve">should undertake additional research and analysis in future years to refine </w:t>
      </w:r>
      <w:r w:rsidR="00765EA5" w:rsidRPr="00B77CAC">
        <w:rPr>
          <w:rFonts w:asciiTheme="minorHAnsi" w:hAnsiTheme="minorHAnsi"/>
        </w:rPr>
        <w:t xml:space="preserve">and revise </w:t>
      </w:r>
      <w:r w:rsidRPr="00B77CAC">
        <w:rPr>
          <w:rFonts w:asciiTheme="minorHAnsi" w:hAnsiTheme="minorHAnsi"/>
        </w:rPr>
        <w:t xml:space="preserve">these values. </w:t>
      </w:r>
    </w:p>
    <w:p w:rsidR="00BD4695" w:rsidRPr="00B77CAC" w:rsidRDefault="00BD4695" w:rsidP="00D404E6">
      <w:pPr>
        <w:spacing w:line="276" w:lineRule="auto"/>
        <w:rPr>
          <w:rFonts w:asciiTheme="minorHAnsi" w:hAnsiTheme="minorHAnsi"/>
        </w:rPr>
      </w:pPr>
    </w:p>
    <w:p w:rsidR="00BD4695" w:rsidRPr="00B77CAC" w:rsidRDefault="00BD4695" w:rsidP="00D404E6">
      <w:pPr>
        <w:pStyle w:val="ListParagraph"/>
        <w:numPr>
          <w:ilvl w:val="0"/>
          <w:numId w:val="1"/>
        </w:numPr>
        <w:rPr>
          <w:rFonts w:asciiTheme="minorHAnsi" w:hAnsiTheme="minorHAnsi"/>
        </w:rPr>
      </w:pPr>
      <w:r w:rsidRPr="00B77CAC">
        <w:rPr>
          <w:rFonts w:asciiTheme="minorHAnsi" w:hAnsiTheme="minorHAnsi"/>
          <w:b/>
        </w:rPr>
        <w:t>Discount Rates</w:t>
      </w:r>
      <w:r w:rsidRPr="00B77CAC">
        <w:rPr>
          <w:rFonts w:asciiTheme="minorHAnsi" w:hAnsiTheme="minorHAnsi"/>
        </w:rPr>
        <w:t xml:space="preserve">: The Base and Enhanced Cases base </w:t>
      </w:r>
      <w:r w:rsidR="0069730C" w:rsidRPr="00B77CAC">
        <w:rPr>
          <w:rFonts w:asciiTheme="minorHAnsi" w:hAnsiTheme="minorHAnsi"/>
        </w:rPr>
        <w:t>would use the</w:t>
      </w:r>
      <w:r w:rsidRPr="00B77CAC">
        <w:rPr>
          <w:rFonts w:asciiTheme="minorHAnsi" w:hAnsiTheme="minorHAnsi"/>
        </w:rPr>
        <w:t xml:space="preserve"> weighted average cost of capital (WACC) of </w:t>
      </w:r>
      <w:r w:rsidR="00963754" w:rsidRPr="00B77CAC">
        <w:rPr>
          <w:rFonts w:asciiTheme="minorHAnsi" w:hAnsiTheme="minorHAnsi"/>
        </w:rPr>
        <w:t>7.72</w:t>
      </w:r>
      <w:r w:rsidRPr="00B77CAC">
        <w:rPr>
          <w:rFonts w:asciiTheme="minorHAnsi" w:hAnsiTheme="minorHAnsi"/>
        </w:rPr>
        <w:t xml:space="preserve"> percent as the primary discount rate within screening, while the Aggressive Case would use a societal discount rate</w:t>
      </w:r>
      <w:r w:rsidR="00963754" w:rsidRPr="00B77CAC">
        <w:rPr>
          <w:rFonts w:asciiTheme="minorHAnsi" w:hAnsiTheme="minorHAnsi"/>
        </w:rPr>
        <w:t xml:space="preserve"> of 4.7 percent</w:t>
      </w:r>
      <w:r w:rsidRPr="00B77CAC">
        <w:rPr>
          <w:rFonts w:asciiTheme="minorHAnsi" w:hAnsiTheme="minorHAnsi"/>
        </w:rPr>
        <w:t xml:space="preserve">. The Working Group has taken a conservative approach in applying the WACC to energy efficiency programs, </w:t>
      </w:r>
      <w:r w:rsidR="00963754" w:rsidRPr="00B77CAC">
        <w:rPr>
          <w:rFonts w:asciiTheme="minorHAnsi" w:hAnsiTheme="minorHAnsi"/>
        </w:rPr>
        <w:t>equating</w:t>
      </w:r>
      <w:r w:rsidRPr="00B77CAC">
        <w:rPr>
          <w:rFonts w:asciiTheme="minorHAnsi" w:hAnsiTheme="minorHAnsi"/>
        </w:rPr>
        <w:t xml:space="preserve"> the risk</w:t>
      </w:r>
      <w:r w:rsidR="00963754" w:rsidRPr="00B77CAC">
        <w:rPr>
          <w:rFonts w:asciiTheme="minorHAnsi" w:hAnsiTheme="minorHAnsi"/>
        </w:rPr>
        <w:t>s</w:t>
      </w:r>
      <w:r w:rsidRPr="00B77CAC">
        <w:rPr>
          <w:rFonts w:asciiTheme="minorHAnsi" w:hAnsiTheme="minorHAnsi"/>
        </w:rPr>
        <w:t xml:space="preserve"> posed to ratepayers from energy efficiency programs with other utility investments</w:t>
      </w:r>
      <w:r w:rsidR="0069730C" w:rsidRPr="00B77CAC">
        <w:rPr>
          <w:rFonts w:asciiTheme="minorHAnsi" w:hAnsiTheme="minorHAnsi"/>
        </w:rPr>
        <w:t xml:space="preserve"> and to account for participant discount rates</w:t>
      </w:r>
      <w:r w:rsidRPr="00B77CAC">
        <w:rPr>
          <w:rFonts w:asciiTheme="minorHAnsi" w:hAnsiTheme="minorHAnsi"/>
        </w:rPr>
        <w:t xml:space="preserve">. </w:t>
      </w:r>
      <w:r w:rsidR="00963754" w:rsidRPr="00B77CAC">
        <w:rPr>
          <w:rFonts w:asciiTheme="minorHAnsi" w:hAnsiTheme="minorHAnsi"/>
        </w:rPr>
        <w:t xml:space="preserve">We note that other states in this region have chosen to use a societal </w:t>
      </w:r>
      <w:r w:rsidR="00963754" w:rsidRPr="00B77CAC">
        <w:rPr>
          <w:rFonts w:asciiTheme="minorHAnsi" w:hAnsiTheme="minorHAnsi"/>
        </w:rPr>
        <w:lastRenderedPageBreak/>
        <w:t>discount rate of 3 percent or lower to reflect potential risk-related benefits of energy efficiency investments</w:t>
      </w:r>
      <w:r w:rsidR="0069730C" w:rsidRPr="00B77CAC">
        <w:rPr>
          <w:rFonts w:asciiTheme="minorHAnsi" w:hAnsiTheme="minorHAnsi"/>
        </w:rPr>
        <w:t xml:space="preserve"> (</w:t>
      </w:r>
      <w:r w:rsidR="0069730C" w:rsidRPr="00B77CAC">
        <w:rPr>
          <w:rFonts w:asciiTheme="minorHAnsi" w:hAnsiTheme="minorHAnsi"/>
          <w:i/>
        </w:rPr>
        <w:t>NEEP/Synapse Survey, Table 2, p. 9</w:t>
      </w:r>
      <w:r w:rsidR="0069730C" w:rsidRPr="00B77CAC">
        <w:rPr>
          <w:rFonts w:asciiTheme="minorHAnsi" w:hAnsiTheme="minorHAnsi"/>
        </w:rPr>
        <w:t>). NEEP plans</w:t>
      </w:r>
      <w:r w:rsidR="00963754" w:rsidRPr="00B77CAC">
        <w:rPr>
          <w:rFonts w:asciiTheme="minorHAnsi" w:hAnsiTheme="minorHAnsi"/>
        </w:rPr>
        <w:t xml:space="preserve"> to explore</w:t>
      </w:r>
      <w:r w:rsidR="0069730C" w:rsidRPr="00B77CAC">
        <w:rPr>
          <w:rFonts w:asciiTheme="minorHAnsi" w:hAnsiTheme="minorHAnsi"/>
        </w:rPr>
        <w:t xml:space="preserve"> discount rates</w:t>
      </w:r>
      <w:r w:rsidR="00963754" w:rsidRPr="00B77CAC">
        <w:rPr>
          <w:rFonts w:asciiTheme="minorHAnsi" w:hAnsiTheme="minorHAnsi"/>
        </w:rPr>
        <w:t xml:space="preserve"> in more detail</w:t>
      </w:r>
      <w:r w:rsidR="0069730C" w:rsidRPr="00B77CAC">
        <w:rPr>
          <w:rFonts w:asciiTheme="minorHAnsi" w:hAnsiTheme="minorHAnsi"/>
        </w:rPr>
        <w:t xml:space="preserve"> in the near future and will plan to </w:t>
      </w:r>
      <w:r w:rsidR="00963754" w:rsidRPr="00B77CAC">
        <w:rPr>
          <w:rFonts w:asciiTheme="minorHAnsi" w:hAnsiTheme="minorHAnsi"/>
        </w:rPr>
        <w:t xml:space="preserve">share </w:t>
      </w:r>
      <w:r w:rsidR="0069730C" w:rsidRPr="00B77CAC">
        <w:rPr>
          <w:rFonts w:asciiTheme="minorHAnsi" w:hAnsiTheme="minorHAnsi"/>
        </w:rPr>
        <w:t xml:space="preserve">our finding </w:t>
      </w:r>
      <w:r w:rsidR="00963754" w:rsidRPr="00B77CAC">
        <w:rPr>
          <w:rFonts w:asciiTheme="minorHAnsi" w:hAnsiTheme="minorHAnsi"/>
        </w:rPr>
        <w:t xml:space="preserve">with </w:t>
      </w:r>
      <w:r w:rsidRPr="00B77CAC">
        <w:rPr>
          <w:rFonts w:asciiTheme="minorHAnsi" w:hAnsiTheme="minorHAnsi"/>
        </w:rPr>
        <w:t>the Commission and the W</w:t>
      </w:r>
      <w:r w:rsidR="00963754" w:rsidRPr="00B77CAC">
        <w:rPr>
          <w:rFonts w:asciiTheme="minorHAnsi" w:hAnsiTheme="minorHAnsi"/>
        </w:rPr>
        <w:t>orking Group</w:t>
      </w:r>
      <w:r w:rsidR="0069730C" w:rsidRPr="00B77CAC">
        <w:rPr>
          <w:rFonts w:asciiTheme="minorHAnsi" w:hAnsiTheme="minorHAnsi"/>
        </w:rPr>
        <w:t>.</w:t>
      </w:r>
    </w:p>
    <w:p w:rsidR="00BD4695" w:rsidRPr="00B77CAC" w:rsidRDefault="00BD4695" w:rsidP="00D404E6">
      <w:pPr>
        <w:pStyle w:val="ListParagraph"/>
        <w:rPr>
          <w:rFonts w:asciiTheme="minorHAnsi" w:hAnsiTheme="minorHAnsi"/>
        </w:rPr>
      </w:pPr>
    </w:p>
    <w:p w:rsidR="00BD4695" w:rsidRPr="00B77CAC" w:rsidRDefault="00BD4695" w:rsidP="00D404E6">
      <w:pPr>
        <w:pStyle w:val="ListParagraph"/>
        <w:numPr>
          <w:ilvl w:val="0"/>
          <w:numId w:val="1"/>
        </w:numPr>
        <w:spacing w:after="0"/>
        <w:rPr>
          <w:rFonts w:asciiTheme="minorHAnsi" w:hAnsiTheme="minorHAnsi"/>
        </w:rPr>
      </w:pPr>
      <w:r w:rsidRPr="00B77CAC">
        <w:rPr>
          <w:rFonts w:asciiTheme="minorHAnsi" w:hAnsiTheme="minorHAnsi"/>
          <w:b/>
        </w:rPr>
        <w:t xml:space="preserve">Forthcoming EM&amp;V Forum Guidance: </w:t>
      </w:r>
      <w:r w:rsidR="00963754" w:rsidRPr="00B77CAC">
        <w:rPr>
          <w:rFonts w:asciiTheme="minorHAnsi" w:hAnsiTheme="minorHAnsi"/>
        </w:rPr>
        <w:t xml:space="preserve">The </w:t>
      </w:r>
      <w:r w:rsidRPr="00B77CAC">
        <w:rPr>
          <w:rFonts w:asciiTheme="minorHAnsi" w:hAnsiTheme="minorHAnsi"/>
        </w:rPr>
        <w:t>Regional EM&amp;V Forum is actively developing guidance on cost-effectiveness screening (forthcoming in July), which will include detailed guidance on non-energy benefits</w:t>
      </w:r>
      <w:r w:rsidR="006473AD" w:rsidRPr="00B77CAC">
        <w:rPr>
          <w:rFonts w:asciiTheme="minorHAnsi" w:hAnsiTheme="minorHAnsi"/>
        </w:rPr>
        <w:t>, accounting for risk and choice of discount rates, and accounting for environmental compliance,</w:t>
      </w:r>
      <w:r w:rsidRPr="00B77CAC">
        <w:rPr>
          <w:rFonts w:asciiTheme="minorHAnsi" w:hAnsiTheme="minorHAnsi"/>
        </w:rPr>
        <w:t xml:space="preserve"> which may help inform </w:t>
      </w:r>
      <w:r w:rsidR="00FC7E86" w:rsidRPr="00B77CAC">
        <w:rPr>
          <w:rFonts w:asciiTheme="minorHAnsi" w:hAnsiTheme="minorHAnsi"/>
        </w:rPr>
        <w:t xml:space="preserve">future </w:t>
      </w:r>
      <w:r w:rsidRPr="00B77CAC">
        <w:rPr>
          <w:rFonts w:asciiTheme="minorHAnsi" w:hAnsiTheme="minorHAnsi"/>
        </w:rPr>
        <w:t xml:space="preserve">discussions </w:t>
      </w:r>
      <w:r w:rsidR="00FC7E86" w:rsidRPr="00B77CAC">
        <w:rPr>
          <w:rFonts w:asciiTheme="minorHAnsi" w:hAnsiTheme="minorHAnsi"/>
        </w:rPr>
        <w:t xml:space="preserve">on these issues </w:t>
      </w:r>
      <w:r w:rsidRPr="00B77CAC">
        <w:rPr>
          <w:rFonts w:asciiTheme="minorHAnsi" w:hAnsiTheme="minorHAnsi"/>
        </w:rPr>
        <w:t>in Maryland.  </w:t>
      </w:r>
      <w:r w:rsidR="00D404E6" w:rsidRPr="00B77CAC">
        <w:rPr>
          <w:rFonts w:asciiTheme="minorHAnsi" w:hAnsiTheme="minorHAnsi"/>
        </w:rPr>
        <w:t>The</w:t>
      </w:r>
      <w:r w:rsidR="006473AD" w:rsidRPr="00B77CAC">
        <w:rPr>
          <w:rFonts w:asciiTheme="minorHAnsi" w:hAnsiTheme="minorHAnsi"/>
        </w:rPr>
        <w:t xml:space="preserve"> Forum’s guidance </w:t>
      </w:r>
      <w:r w:rsidR="00D404E6" w:rsidRPr="00B77CAC">
        <w:rPr>
          <w:rFonts w:asciiTheme="minorHAnsi" w:hAnsiTheme="minorHAnsi"/>
        </w:rPr>
        <w:t>will build</w:t>
      </w:r>
      <w:r w:rsidR="006473AD" w:rsidRPr="00B77CAC">
        <w:rPr>
          <w:rFonts w:asciiTheme="minorHAnsi" w:hAnsiTheme="minorHAnsi"/>
        </w:rPr>
        <w:t xml:space="preserve"> on key principles</w:t>
      </w:r>
      <w:r w:rsidR="00787697" w:rsidRPr="00B77CAC">
        <w:rPr>
          <w:rStyle w:val="FootnoteReference"/>
          <w:rFonts w:asciiTheme="minorHAnsi" w:hAnsiTheme="minorHAnsi"/>
        </w:rPr>
        <w:footnoteReference w:id="2"/>
      </w:r>
      <w:r w:rsidR="006473AD" w:rsidRPr="00B77CAC">
        <w:rPr>
          <w:rFonts w:asciiTheme="minorHAnsi" w:hAnsiTheme="minorHAnsi"/>
        </w:rPr>
        <w:t xml:space="preserve"> reviewed and discussed to date with stakeholders from across the region, including Steering Committee leadership, as follows: </w:t>
      </w:r>
    </w:p>
    <w:p w:rsidR="006473AD" w:rsidRPr="00B77CAC" w:rsidRDefault="006473AD" w:rsidP="00D404E6">
      <w:pPr>
        <w:pStyle w:val="ListParagraph"/>
        <w:rPr>
          <w:rFonts w:asciiTheme="minorHAnsi" w:hAnsiTheme="minorHAnsi"/>
        </w:rPr>
      </w:pPr>
    </w:p>
    <w:p w:rsidR="00B77CAC" w:rsidRDefault="006473AD" w:rsidP="00B77CAC">
      <w:pPr>
        <w:pStyle w:val="ListParagraph"/>
        <w:numPr>
          <w:ilvl w:val="0"/>
          <w:numId w:val="4"/>
        </w:numPr>
        <w:ind w:right="720"/>
        <w:contextualSpacing w:val="0"/>
        <w:rPr>
          <w:rFonts w:asciiTheme="minorHAnsi" w:hAnsiTheme="minorHAnsi"/>
        </w:rPr>
      </w:pPr>
      <w:r w:rsidRPr="00B77CAC">
        <w:rPr>
          <w:rFonts w:asciiTheme="minorHAnsi" w:hAnsiTheme="minorHAnsi"/>
          <w:u w:val="single"/>
        </w:rPr>
        <w:t xml:space="preserve">Principle #1 – Energy Policies: </w:t>
      </w:r>
      <w:r w:rsidRPr="00B77CAC">
        <w:rPr>
          <w:rFonts w:asciiTheme="minorHAnsi" w:hAnsiTheme="minorHAnsi"/>
        </w:rPr>
        <w:t xml:space="preserve"> Efficiency screening practices should be a function of the energy policy goals of each state, as articulated in legislation, commission orders, regulations, and other policy directives.  These policy goals provide guidance with regard to which efficiency programs are in the public interest.</w:t>
      </w:r>
    </w:p>
    <w:p w:rsidR="00B77CAC" w:rsidRDefault="006473AD" w:rsidP="00B77CAC">
      <w:pPr>
        <w:pStyle w:val="ListParagraph"/>
        <w:numPr>
          <w:ilvl w:val="0"/>
          <w:numId w:val="4"/>
        </w:numPr>
        <w:ind w:right="720"/>
        <w:contextualSpacing w:val="0"/>
        <w:rPr>
          <w:rFonts w:asciiTheme="minorHAnsi" w:hAnsiTheme="minorHAnsi"/>
        </w:rPr>
      </w:pPr>
      <w:r w:rsidRPr="00B77CAC">
        <w:rPr>
          <w:rFonts w:asciiTheme="minorHAnsi" w:hAnsiTheme="minorHAnsi"/>
          <w:u w:val="single"/>
        </w:rPr>
        <w:t>Principle #2 – Symmetry:</w:t>
      </w:r>
      <w:r w:rsidRPr="00B77CAC">
        <w:rPr>
          <w:rFonts w:asciiTheme="minorHAnsi" w:hAnsiTheme="minorHAnsi"/>
        </w:rPr>
        <w:t xml:space="preserve">  Efficiency screening practices should ensure that tests are applied symmetrically, where both relevant costs and relevant benefits are included in the screening analysis.  For example, a state that chooses to include participant costs in its screening test should also include participant benefits, including non-energy </w:t>
      </w:r>
      <w:proofErr w:type="gramStart"/>
      <w:r w:rsidRPr="00B77CAC">
        <w:rPr>
          <w:rFonts w:asciiTheme="minorHAnsi" w:hAnsiTheme="minorHAnsi"/>
        </w:rPr>
        <w:t>benefits,</w:t>
      </w:r>
      <w:proofErr w:type="gramEnd"/>
      <w:r w:rsidRPr="00B77CAC">
        <w:rPr>
          <w:rFonts w:asciiTheme="minorHAnsi" w:hAnsiTheme="minorHAnsi"/>
        </w:rPr>
        <w:t xml:space="preserve"> otherwise</w:t>
      </w:r>
      <w:r w:rsidR="00D404E6" w:rsidRPr="00B77CAC">
        <w:rPr>
          <w:rFonts w:asciiTheme="minorHAnsi" w:hAnsiTheme="minorHAnsi"/>
        </w:rPr>
        <w:t xml:space="preserve"> screening may undervalue</w:t>
      </w:r>
      <w:r w:rsidRPr="00B77CAC">
        <w:rPr>
          <w:rFonts w:asciiTheme="minorHAnsi" w:hAnsiTheme="minorHAnsi"/>
        </w:rPr>
        <w:t xml:space="preserve"> energy efficiency resources.  </w:t>
      </w:r>
    </w:p>
    <w:p w:rsidR="00B77CAC" w:rsidRDefault="006473AD" w:rsidP="00B77CAC">
      <w:pPr>
        <w:pStyle w:val="ListParagraph"/>
        <w:numPr>
          <w:ilvl w:val="0"/>
          <w:numId w:val="4"/>
        </w:numPr>
        <w:ind w:right="720"/>
        <w:contextualSpacing w:val="0"/>
        <w:rPr>
          <w:rFonts w:asciiTheme="minorHAnsi" w:hAnsiTheme="minorHAnsi"/>
        </w:rPr>
      </w:pPr>
      <w:r w:rsidRPr="00B77CAC">
        <w:rPr>
          <w:rFonts w:asciiTheme="minorHAnsi" w:hAnsiTheme="minorHAnsi"/>
          <w:u w:val="single"/>
        </w:rPr>
        <w:t>Principle #3 - Hard-to-Quantify Benefits:</w:t>
      </w:r>
      <w:r w:rsidRPr="00B77CAC">
        <w:rPr>
          <w:rFonts w:asciiTheme="minorHAnsi" w:hAnsiTheme="minorHAnsi"/>
        </w:rPr>
        <w:t xml:space="preserve">  Efficiency screening practices should not exclude relevant benefits on the grounds that they are difficult to quantify and monetize.  Several methods are available to approximate the magnitude of relevant benefits</w:t>
      </w:r>
      <w:r w:rsidR="00787697" w:rsidRPr="00B77CAC">
        <w:rPr>
          <w:rFonts w:asciiTheme="minorHAnsi" w:hAnsiTheme="minorHAnsi"/>
        </w:rPr>
        <w:t xml:space="preserve"> and should be considered as options</w:t>
      </w:r>
      <w:r w:rsidRPr="00B77CAC">
        <w:rPr>
          <w:rFonts w:asciiTheme="minorHAnsi" w:hAnsiTheme="minorHAnsi"/>
        </w:rPr>
        <w:t xml:space="preserve">.  </w:t>
      </w:r>
    </w:p>
    <w:p w:rsidR="006473AD" w:rsidRPr="00B77CAC" w:rsidRDefault="00787697" w:rsidP="0069730C">
      <w:pPr>
        <w:pStyle w:val="ListParagraph"/>
        <w:numPr>
          <w:ilvl w:val="0"/>
          <w:numId w:val="4"/>
        </w:numPr>
        <w:ind w:right="720"/>
        <w:contextualSpacing w:val="0"/>
        <w:rPr>
          <w:rFonts w:asciiTheme="minorHAnsi" w:hAnsiTheme="minorHAnsi"/>
        </w:rPr>
      </w:pPr>
      <w:r w:rsidRPr="00B77CAC">
        <w:rPr>
          <w:rFonts w:asciiTheme="minorHAnsi" w:hAnsiTheme="minorHAnsi"/>
          <w:u w:val="single"/>
        </w:rPr>
        <w:t xml:space="preserve">Principle #4 – </w:t>
      </w:r>
      <w:r w:rsidR="006473AD" w:rsidRPr="00B77CAC">
        <w:rPr>
          <w:rFonts w:asciiTheme="minorHAnsi" w:hAnsiTheme="minorHAnsi"/>
          <w:u w:val="single"/>
        </w:rPr>
        <w:t>Transparency</w:t>
      </w:r>
      <w:r w:rsidRPr="00B77CAC">
        <w:rPr>
          <w:rFonts w:asciiTheme="minorHAnsi" w:hAnsiTheme="minorHAnsi"/>
          <w:u w:val="single"/>
        </w:rPr>
        <w:t>:</w:t>
      </w:r>
      <w:r w:rsidR="006473AD" w:rsidRPr="00B77CAC">
        <w:rPr>
          <w:rFonts w:asciiTheme="minorHAnsi" w:hAnsiTheme="minorHAnsi"/>
        </w:rPr>
        <w:t xml:space="preserve">  Efficiency program administrators should use a standard template to explicitly identify their state’s energy policy goals and to document their assumptions and methodologies.</w:t>
      </w:r>
    </w:p>
    <w:p w:rsidR="00BD4695" w:rsidRPr="00B77CAC" w:rsidRDefault="00787697" w:rsidP="00D404E6">
      <w:pPr>
        <w:spacing w:line="276" w:lineRule="auto"/>
        <w:rPr>
          <w:rFonts w:asciiTheme="minorHAnsi" w:hAnsiTheme="minorHAnsi"/>
          <w:sz w:val="22"/>
          <w:szCs w:val="22"/>
        </w:rPr>
      </w:pPr>
      <w:r w:rsidRPr="00B77CAC">
        <w:rPr>
          <w:rFonts w:asciiTheme="minorHAnsi" w:hAnsiTheme="minorHAnsi"/>
          <w:sz w:val="22"/>
          <w:szCs w:val="22"/>
        </w:rPr>
        <w:t xml:space="preserve">We are pleased to see that </w:t>
      </w:r>
      <w:r w:rsidR="00FC7E86" w:rsidRPr="00B77CAC">
        <w:rPr>
          <w:rFonts w:asciiTheme="minorHAnsi" w:hAnsiTheme="minorHAnsi"/>
          <w:sz w:val="22"/>
          <w:szCs w:val="22"/>
        </w:rPr>
        <w:t xml:space="preserve">the </w:t>
      </w:r>
      <w:r w:rsidRPr="00B77CAC">
        <w:rPr>
          <w:rFonts w:asciiTheme="minorHAnsi" w:hAnsiTheme="minorHAnsi"/>
          <w:sz w:val="22"/>
          <w:szCs w:val="22"/>
        </w:rPr>
        <w:t xml:space="preserve">Straw Proposal and </w:t>
      </w:r>
      <w:r w:rsidR="0069730C" w:rsidRPr="00B77CAC">
        <w:rPr>
          <w:rFonts w:asciiTheme="minorHAnsi" w:hAnsiTheme="minorHAnsi"/>
          <w:sz w:val="22"/>
          <w:szCs w:val="22"/>
        </w:rPr>
        <w:t xml:space="preserve">the Working Group </w:t>
      </w:r>
      <w:r w:rsidRPr="00B77CAC">
        <w:rPr>
          <w:rFonts w:asciiTheme="minorHAnsi" w:hAnsiTheme="minorHAnsi"/>
          <w:sz w:val="22"/>
          <w:szCs w:val="22"/>
        </w:rPr>
        <w:t xml:space="preserve">process have </w:t>
      </w:r>
      <w:r w:rsidR="0069730C" w:rsidRPr="00B77CAC">
        <w:rPr>
          <w:rFonts w:asciiTheme="minorHAnsi" w:hAnsiTheme="minorHAnsi"/>
          <w:sz w:val="22"/>
          <w:szCs w:val="22"/>
        </w:rPr>
        <w:t xml:space="preserve">followed many of these </w:t>
      </w:r>
      <w:r w:rsidRPr="00B77CAC">
        <w:rPr>
          <w:rFonts w:asciiTheme="minorHAnsi" w:hAnsiTheme="minorHAnsi"/>
          <w:sz w:val="22"/>
          <w:szCs w:val="22"/>
        </w:rPr>
        <w:t>principles, and look forward to providing further tools and resources through the EM&amp;V Forum to support these efforts.</w:t>
      </w:r>
    </w:p>
    <w:p w:rsidR="00BD4695" w:rsidRPr="00B77CAC" w:rsidRDefault="00BD4695" w:rsidP="00D404E6">
      <w:pPr>
        <w:spacing w:line="276" w:lineRule="auto"/>
        <w:rPr>
          <w:rFonts w:asciiTheme="minorHAnsi" w:hAnsiTheme="minorHAnsi"/>
          <w:sz w:val="22"/>
          <w:szCs w:val="22"/>
        </w:rPr>
      </w:pPr>
    </w:p>
    <w:p w:rsidR="00AE2645" w:rsidRPr="00B77CAC" w:rsidRDefault="00AE2645" w:rsidP="00D404E6">
      <w:pPr>
        <w:spacing w:line="276" w:lineRule="auto"/>
        <w:rPr>
          <w:rFonts w:asciiTheme="minorHAnsi" w:hAnsiTheme="minorHAnsi"/>
          <w:sz w:val="22"/>
          <w:szCs w:val="22"/>
        </w:rPr>
      </w:pPr>
    </w:p>
    <w:sectPr w:rsidR="00AE2645" w:rsidRPr="00B77C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DC" w:rsidRDefault="002D05DC" w:rsidP="00787697">
      <w:r>
        <w:separator/>
      </w:r>
    </w:p>
  </w:endnote>
  <w:endnote w:type="continuationSeparator" w:id="0">
    <w:p w:rsidR="002D05DC" w:rsidRDefault="002D05DC" w:rsidP="0078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52193"/>
      <w:docPartObj>
        <w:docPartGallery w:val="Page Numbers (Bottom of Page)"/>
        <w:docPartUnique/>
      </w:docPartObj>
    </w:sdtPr>
    <w:sdtEndPr>
      <w:rPr>
        <w:rFonts w:ascii="Trebuchet MS" w:hAnsi="Trebuchet MS"/>
        <w:noProof/>
        <w:sz w:val="20"/>
        <w:szCs w:val="20"/>
      </w:rPr>
    </w:sdtEndPr>
    <w:sdtContent>
      <w:p w:rsidR="00D168C9" w:rsidRPr="00D168C9" w:rsidRDefault="00D168C9">
        <w:pPr>
          <w:pStyle w:val="Footer"/>
          <w:jc w:val="center"/>
          <w:rPr>
            <w:rFonts w:ascii="Trebuchet MS" w:hAnsi="Trebuchet MS"/>
            <w:sz w:val="20"/>
            <w:szCs w:val="20"/>
          </w:rPr>
        </w:pPr>
        <w:r w:rsidRPr="00D168C9">
          <w:rPr>
            <w:rFonts w:ascii="Trebuchet MS" w:hAnsi="Trebuchet MS"/>
            <w:sz w:val="20"/>
            <w:szCs w:val="20"/>
          </w:rPr>
          <w:fldChar w:fldCharType="begin"/>
        </w:r>
        <w:r w:rsidRPr="00D168C9">
          <w:rPr>
            <w:rFonts w:ascii="Trebuchet MS" w:hAnsi="Trebuchet MS"/>
            <w:sz w:val="20"/>
            <w:szCs w:val="20"/>
          </w:rPr>
          <w:instrText xml:space="preserve"> PAGE   \* MERGEFORMAT </w:instrText>
        </w:r>
        <w:r w:rsidRPr="00D168C9">
          <w:rPr>
            <w:rFonts w:ascii="Trebuchet MS" w:hAnsi="Trebuchet MS"/>
            <w:sz w:val="20"/>
            <w:szCs w:val="20"/>
          </w:rPr>
          <w:fldChar w:fldCharType="separate"/>
        </w:r>
        <w:r w:rsidR="007223BA">
          <w:rPr>
            <w:rFonts w:ascii="Trebuchet MS" w:hAnsi="Trebuchet MS"/>
            <w:noProof/>
            <w:sz w:val="20"/>
            <w:szCs w:val="20"/>
          </w:rPr>
          <w:t>1</w:t>
        </w:r>
        <w:r w:rsidRPr="00D168C9">
          <w:rPr>
            <w:rFonts w:ascii="Trebuchet MS" w:hAnsi="Trebuchet MS"/>
            <w:noProof/>
            <w:sz w:val="20"/>
            <w:szCs w:val="20"/>
          </w:rPr>
          <w:fldChar w:fldCharType="end"/>
        </w:r>
      </w:p>
    </w:sdtContent>
  </w:sdt>
  <w:p w:rsidR="00D168C9" w:rsidRDefault="00D1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DC" w:rsidRDefault="002D05DC" w:rsidP="00787697">
      <w:r>
        <w:separator/>
      </w:r>
    </w:p>
  </w:footnote>
  <w:footnote w:type="continuationSeparator" w:id="0">
    <w:p w:rsidR="002D05DC" w:rsidRDefault="002D05DC" w:rsidP="00787697">
      <w:r>
        <w:continuationSeparator/>
      </w:r>
    </w:p>
  </w:footnote>
  <w:footnote w:id="1">
    <w:p w:rsidR="00D404E6" w:rsidRPr="00C62FE2" w:rsidRDefault="00D404E6">
      <w:pPr>
        <w:pStyle w:val="FootnoteText"/>
        <w:rPr>
          <w:rFonts w:ascii="Trebuchet MS" w:hAnsi="Trebuchet MS"/>
          <w:sz w:val="18"/>
          <w:szCs w:val="18"/>
        </w:rPr>
      </w:pPr>
      <w:r w:rsidRPr="00C62FE2">
        <w:rPr>
          <w:rStyle w:val="FootnoteReference"/>
          <w:rFonts w:ascii="Trebuchet MS" w:hAnsi="Trebuchet MS"/>
          <w:sz w:val="18"/>
          <w:szCs w:val="18"/>
        </w:rPr>
        <w:footnoteRef/>
      </w:r>
      <w:r w:rsidRPr="00C62FE2">
        <w:rPr>
          <w:rFonts w:ascii="Trebuchet MS" w:hAnsi="Trebuchet MS"/>
          <w:sz w:val="18"/>
          <w:szCs w:val="18"/>
        </w:rPr>
        <w:t xml:space="preserve"> </w:t>
      </w:r>
      <w:r w:rsidR="00C62FE2" w:rsidRPr="00C62FE2">
        <w:rPr>
          <w:rFonts w:ascii="Trebuchet MS" w:hAnsi="Trebuchet MS"/>
          <w:sz w:val="18"/>
          <w:szCs w:val="18"/>
        </w:rPr>
        <w:t>These comments are offered by NEEP staff and do not necessarily represent the view of the NEEP Board of Directors, sponsors or partners.</w:t>
      </w:r>
    </w:p>
  </w:footnote>
  <w:footnote w:id="2">
    <w:p w:rsidR="00787697" w:rsidRPr="00787697" w:rsidRDefault="00787697">
      <w:pPr>
        <w:pStyle w:val="FootnoteText"/>
        <w:rPr>
          <w:rFonts w:ascii="Trebuchet MS" w:hAnsi="Trebuchet MS"/>
          <w:sz w:val="18"/>
          <w:szCs w:val="18"/>
        </w:rPr>
      </w:pPr>
      <w:r w:rsidRPr="00C62FE2">
        <w:rPr>
          <w:rStyle w:val="FootnoteReference"/>
          <w:rFonts w:ascii="Trebuchet MS" w:hAnsi="Trebuchet MS"/>
          <w:sz w:val="18"/>
          <w:szCs w:val="18"/>
        </w:rPr>
        <w:footnoteRef/>
      </w:r>
      <w:r w:rsidRPr="00C62FE2">
        <w:rPr>
          <w:rFonts w:ascii="Trebuchet MS" w:hAnsi="Trebuchet MS"/>
          <w:sz w:val="18"/>
          <w:szCs w:val="18"/>
        </w:rPr>
        <w:t xml:space="preserve"> The principles are based on a subset of those presented in the Resource Value Framework</w:t>
      </w:r>
      <w:r w:rsidR="00963754">
        <w:rPr>
          <w:rFonts w:ascii="Trebuchet MS" w:hAnsi="Trebuchet MS"/>
          <w:sz w:val="18"/>
          <w:szCs w:val="18"/>
        </w:rPr>
        <w:t>, a projected of the National Efficiency Screening Project,</w:t>
      </w:r>
      <w:r w:rsidRPr="00C62FE2">
        <w:rPr>
          <w:rFonts w:ascii="Trebuchet MS" w:hAnsi="Trebuchet MS"/>
          <w:sz w:val="18"/>
          <w:szCs w:val="18"/>
        </w:rPr>
        <w:t xml:space="preserve"> which was presented to and largely supported by the Forum Steering Committee and project committee members.</w:t>
      </w:r>
      <w:r w:rsidRPr="00787697">
        <w:rPr>
          <w:rFonts w:ascii="Trebuchet MS" w:hAnsi="Trebuchet MS"/>
          <w:sz w:val="18"/>
          <w:szCs w:val="18"/>
        </w:rPr>
        <w:t xml:space="preserve"> </w:t>
      </w:r>
      <w:r w:rsidR="00963754">
        <w:rPr>
          <w:rFonts w:ascii="Trebuchet MS" w:hAnsi="Trebuchet MS"/>
          <w:sz w:val="18"/>
          <w:szCs w:val="18"/>
        </w:rPr>
        <w:t xml:space="preserve">The latest version of the Resource Value Framework can be found at </w:t>
      </w:r>
      <w:hyperlink r:id="rId1" w:history="1">
        <w:r w:rsidR="00963754" w:rsidRPr="00131D09">
          <w:rPr>
            <w:rStyle w:val="Hyperlink"/>
            <w:rFonts w:ascii="Trebuchet MS" w:hAnsi="Trebuchet MS"/>
            <w:sz w:val="18"/>
            <w:szCs w:val="18"/>
          </w:rPr>
          <w:t>http://www.synapse-energy.com/Downloads/SynapseReport.2014-03.0.Resource-Value-Framework.14-027.pdf</w:t>
        </w:r>
      </w:hyperlink>
      <w:r w:rsidR="00963754">
        <w:rPr>
          <w:rFonts w:ascii="Trebuchet MS" w:hAnsi="Trebuchet M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D1" w:rsidRDefault="001A0AD1">
    <w:pPr>
      <w:pStyle w:val="Header"/>
    </w:pPr>
    <w:r>
      <w:rPr>
        <w:noProof/>
      </w:rPr>
      <w:drawing>
        <wp:inline distT="0" distB="0" distL="0" distR="0" wp14:anchorId="7675B7DA" wp14:editId="1D1B2C05">
          <wp:extent cx="647700" cy="632460"/>
          <wp:effectExtent l="0" t="0" r="0" b="0"/>
          <wp:docPr id="2" name="Picture 14" descr="neep_logo_final__NO NAM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ep_logo_final__NO NAMEcmyk.eps"/>
                  <pic:cNvPicPr>
                    <a:picLocks noChangeAspect="1" noChangeArrowheads="1"/>
                  </pic:cNvPicPr>
                </pic:nvPicPr>
                <pic:blipFill>
                  <a:blip r:embed="rId1"/>
                  <a:srcRect/>
                  <a:stretch>
                    <a:fillRect/>
                  </a:stretch>
                </pic:blipFill>
                <pic:spPr bwMode="auto">
                  <a:xfrm>
                    <a:off x="0" y="0"/>
                    <a:ext cx="647700" cy="632460"/>
                  </a:xfrm>
                  <a:prstGeom prst="rect">
                    <a:avLst/>
                  </a:prstGeom>
                  <a:noFill/>
                  <a:ln w="9525">
                    <a:noFill/>
                    <a:miter lim="800000"/>
                    <a:headEnd/>
                    <a:tailEnd/>
                  </a:ln>
                </pic:spPr>
              </pic:pic>
            </a:graphicData>
          </a:graphic>
        </wp:inline>
      </w:drawing>
    </w:r>
  </w:p>
  <w:p w:rsidR="001A0AD1" w:rsidRPr="001A0AD1" w:rsidRDefault="001A0AD1" w:rsidP="001A0AD1">
    <w:pPr>
      <w:pStyle w:val="Header"/>
      <w:jc w:val="right"/>
      <w:rPr>
        <w:rFonts w:ascii="Trebuchet MS" w:hAnsi="Trebuchet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971"/>
    <w:multiLevelType w:val="hybridMultilevel"/>
    <w:tmpl w:val="D9BECED6"/>
    <w:lvl w:ilvl="0" w:tplc="98CC6BEA">
      <w:start w:val="1"/>
      <w:numFmt w:val="bullet"/>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28413B"/>
    <w:multiLevelType w:val="hybridMultilevel"/>
    <w:tmpl w:val="D1A2EE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550B6D"/>
    <w:multiLevelType w:val="hybridMultilevel"/>
    <w:tmpl w:val="2D0CAD74"/>
    <w:lvl w:ilvl="0" w:tplc="CF044A16">
      <w:start w:val="1"/>
      <w:numFmt w:val="decimal"/>
      <w:lvlText w:val="%1."/>
      <w:lvlJc w:val="left"/>
      <w:pPr>
        <w:tabs>
          <w:tab w:val="num" w:pos="720"/>
        </w:tabs>
        <w:ind w:left="720" w:hanging="360"/>
      </w:pPr>
      <w:rPr>
        <w:rFonts w:ascii="Calibri" w:eastAsiaTheme="minorHAnsi" w:hAnsi="Calibri" w:cstheme="minorBidi"/>
      </w:rPr>
    </w:lvl>
    <w:lvl w:ilvl="1" w:tplc="E034CB54" w:tentative="1">
      <w:start w:val="1"/>
      <w:numFmt w:val="decimal"/>
      <w:lvlText w:val="%2."/>
      <w:lvlJc w:val="left"/>
      <w:pPr>
        <w:tabs>
          <w:tab w:val="num" w:pos="1440"/>
        </w:tabs>
        <w:ind w:left="1440" w:hanging="360"/>
      </w:pPr>
    </w:lvl>
    <w:lvl w:ilvl="2" w:tplc="14961BB2" w:tentative="1">
      <w:start w:val="1"/>
      <w:numFmt w:val="decimal"/>
      <w:lvlText w:val="%3."/>
      <w:lvlJc w:val="left"/>
      <w:pPr>
        <w:tabs>
          <w:tab w:val="num" w:pos="2160"/>
        </w:tabs>
        <w:ind w:left="2160" w:hanging="360"/>
      </w:pPr>
    </w:lvl>
    <w:lvl w:ilvl="3" w:tplc="DE82D3F6" w:tentative="1">
      <w:start w:val="1"/>
      <w:numFmt w:val="decimal"/>
      <w:lvlText w:val="%4."/>
      <w:lvlJc w:val="left"/>
      <w:pPr>
        <w:tabs>
          <w:tab w:val="num" w:pos="2880"/>
        </w:tabs>
        <w:ind w:left="2880" w:hanging="360"/>
      </w:pPr>
    </w:lvl>
    <w:lvl w:ilvl="4" w:tplc="43522BBC" w:tentative="1">
      <w:start w:val="1"/>
      <w:numFmt w:val="decimal"/>
      <w:lvlText w:val="%5."/>
      <w:lvlJc w:val="left"/>
      <w:pPr>
        <w:tabs>
          <w:tab w:val="num" w:pos="3600"/>
        </w:tabs>
        <w:ind w:left="3600" w:hanging="360"/>
      </w:pPr>
    </w:lvl>
    <w:lvl w:ilvl="5" w:tplc="49D60A28" w:tentative="1">
      <w:start w:val="1"/>
      <w:numFmt w:val="decimal"/>
      <w:lvlText w:val="%6."/>
      <w:lvlJc w:val="left"/>
      <w:pPr>
        <w:tabs>
          <w:tab w:val="num" w:pos="4320"/>
        </w:tabs>
        <w:ind w:left="4320" w:hanging="360"/>
      </w:pPr>
    </w:lvl>
    <w:lvl w:ilvl="6" w:tplc="DAD84F42" w:tentative="1">
      <w:start w:val="1"/>
      <w:numFmt w:val="decimal"/>
      <w:lvlText w:val="%7."/>
      <w:lvlJc w:val="left"/>
      <w:pPr>
        <w:tabs>
          <w:tab w:val="num" w:pos="5040"/>
        </w:tabs>
        <w:ind w:left="5040" w:hanging="360"/>
      </w:pPr>
    </w:lvl>
    <w:lvl w:ilvl="7" w:tplc="2B2A7558" w:tentative="1">
      <w:start w:val="1"/>
      <w:numFmt w:val="decimal"/>
      <w:lvlText w:val="%8."/>
      <w:lvlJc w:val="left"/>
      <w:pPr>
        <w:tabs>
          <w:tab w:val="num" w:pos="5760"/>
        </w:tabs>
        <w:ind w:left="5760" w:hanging="360"/>
      </w:pPr>
    </w:lvl>
    <w:lvl w:ilvl="8" w:tplc="36D02B28" w:tentative="1">
      <w:start w:val="1"/>
      <w:numFmt w:val="decimal"/>
      <w:lvlText w:val="%9."/>
      <w:lvlJc w:val="left"/>
      <w:pPr>
        <w:tabs>
          <w:tab w:val="num" w:pos="6480"/>
        </w:tabs>
        <w:ind w:left="6480" w:hanging="360"/>
      </w:pPr>
    </w:lvl>
  </w:abstractNum>
  <w:abstractNum w:abstractNumId="3">
    <w:nsid w:val="7D5F0AB1"/>
    <w:multiLevelType w:val="hybridMultilevel"/>
    <w:tmpl w:val="D8A2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95"/>
    <w:rsid w:val="0001373E"/>
    <w:rsid w:val="0002644F"/>
    <w:rsid w:val="00034285"/>
    <w:rsid w:val="000744E4"/>
    <w:rsid w:val="00092467"/>
    <w:rsid w:val="000B7018"/>
    <w:rsid w:val="000E54D2"/>
    <w:rsid w:val="000E6AD4"/>
    <w:rsid w:val="001361C9"/>
    <w:rsid w:val="0014484D"/>
    <w:rsid w:val="001477E0"/>
    <w:rsid w:val="00182248"/>
    <w:rsid w:val="00184BDB"/>
    <w:rsid w:val="00187E5D"/>
    <w:rsid w:val="0019707A"/>
    <w:rsid w:val="001A0AD1"/>
    <w:rsid w:val="001A2468"/>
    <w:rsid w:val="001A3C42"/>
    <w:rsid w:val="001E268B"/>
    <w:rsid w:val="001E5B6C"/>
    <w:rsid w:val="00221D7B"/>
    <w:rsid w:val="002318CF"/>
    <w:rsid w:val="00233949"/>
    <w:rsid w:val="00235D26"/>
    <w:rsid w:val="0024514B"/>
    <w:rsid w:val="00263DA2"/>
    <w:rsid w:val="002B7627"/>
    <w:rsid w:val="002C3BD4"/>
    <w:rsid w:val="002D05DC"/>
    <w:rsid w:val="003401A6"/>
    <w:rsid w:val="003434BC"/>
    <w:rsid w:val="0034679D"/>
    <w:rsid w:val="0035474E"/>
    <w:rsid w:val="003874BF"/>
    <w:rsid w:val="0039641D"/>
    <w:rsid w:val="003A657D"/>
    <w:rsid w:val="003C4459"/>
    <w:rsid w:val="003F2172"/>
    <w:rsid w:val="00424FF3"/>
    <w:rsid w:val="00431C77"/>
    <w:rsid w:val="004325EA"/>
    <w:rsid w:val="0045035A"/>
    <w:rsid w:val="0046220B"/>
    <w:rsid w:val="004B3AC3"/>
    <w:rsid w:val="004B77A6"/>
    <w:rsid w:val="004C5E2A"/>
    <w:rsid w:val="004C7007"/>
    <w:rsid w:val="004C79F8"/>
    <w:rsid w:val="004D0DD7"/>
    <w:rsid w:val="004E1E44"/>
    <w:rsid w:val="004F5C6D"/>
    <w:rsid w:val="005061FF"/>
    <w:rsid w:val="00533335"/>
    <w:rsid w:val="005462A9"/>
    <w:rsid w:val="005A7D7F"/>
    <w:rsid w:val="005B52AF"/>
    <w:rsid w:val="005D7856"/>
    <w:rsid w:val="005F6FAD"/>
    <w:rsid w:val="0062101B"/>
    <w:rsid w:val="00637326"/>
    <w:rsid w:val="00645E3C"/>
    <w:rsid w:val="006473AD"/>
    <w:rsid w:val="00655B0C"/>
    <w:rsid w:val="006744AC"/>
    <w:rsid w:val="006768BB"/>
    <w:rsid w:val="0068498E"/>
    <w:rsid w:val="00693DAA"/>
    <w:rsid w:val="0069730C"/>
    <w:rsid w:val="00710E2B"/>
    <w:rsid w:val="00717F7C"/>
    <w:rsid w:val="007223BA"/>
    <w:rsid w:val="00757E9B"/>
    <w:rsid w:val="00765EA5"/>
    <w:rsid w:val="00784E37"/>
    <w:rsid w:val="00787697"/>
    <w:rsid w:val="007A705D"/>
    <w:rsid w:val="007B0F69"/>
    <w:rsid w:val="007B2F16"/>
    <w:rsid w:val="00800C06"/>
    <w:rsid w:val="00815052"/>
    <w:rsid w:val="008230A6"/>
    <w:rsid w:val="008248A0"/>
    <w:rsid w:val="008422B3"/>
    <w:rsid w:val="008C0FBF"/>
    <w:rsid w:val="008E6041"/>
    <w:rsid w:val="0090306F"/>
    <w:rsid w:val="00915EFB"/>
    <w:rsid w:val="0092167D"/>
    <w:rsid w:val="00933456"/>
    <w:rsid w:val="00950B7B"/>
    <w:rsid w:val="00954D14"/>
    <w:rsid w:val="00963754"/>
    <w:rsid w:val="009738F1"/>
    <w:rsid w:val="009739C7"/>
    <w:rsid w:val="009941F4"/>
    <w:rsid w:val="009A7D1B"/>
    <w:rsid w:val="009E2C15"/>
    <w:rsid w:val="009F34CD"/>
    <w:rsid w:val="009F4CC7"/>
    <w:rsid w:val="00A54A90"/>
    <w:rsid w:val="00A62C14"/>
    <w:rsid w:val="00A82339"/>
    <w:rsid w:val="00A86A24"/>
    <w:rsid w:val="00AB6B43"/>
    <w:rsid w:val="00AC00A6"/>
    <w:rsid w:val="00AD5EBA"/>
    <w:rsid w:val="00AE2645"/>
    <w:rsid w:val="00B13274"/>
    <w:rsid w:val="00B15E8A"/>
    <w:rsid w:val="00B30730"/>
    <w:rsid w:val="00B3240A"/>
    <w:rsid w:val="00B655C4"/>
    <w:rsid w:val="00B74C3A"/>
    <w:rsid w:val="00B77CAC"/>
    <w:rsid w:val="00B81FD7"/>
    <w:rsid w:val="00B857C6"/>
    <w:rsid w:val="00B93928"/>
    <w:rsid w:val="00BA0C1C"/>
    <w:rsid w:val="00BA5804"/>
    <w:rsid w:val="00BD4695"/>
    <w:rsid w:val="00BE0828"/>
    <w:rsid w:val="00C13936"/>
    <w:rsid w:val="00C235DC"/>
    <w:rsid w:val="00C61C0B"/>
    <w:rsid w:val="00C62FE2"/>
    <w:rsid w:val="00CF0FF6"/>
    <w:rsid w:val="00D168C9"/>
    <w:rsid w:val="00D404E6"/>
    <w:rsid w:val="00D62C09"/>
    <w:rsid w:val="00D74EE7"/>
    <w:rsid w:val="00DA06BD"/>
    <w:rsid w:val="00DC3196"/>
    <w:rsid w:val="00DD6351"/>
    <w:rsid w:val="00DE0954"/>
    <w:rsid w:val="00DE409F"/>
    <w:rsid w:val="00E1346C"/>
    <w:rsid w:val="00E65849"/>
    <w:rsid w:val="00E9376F"/>
    <w:rsid w:val="00EA5CBA"/>
    <w:rsid w:val="00F35C87"/>
    <w:rsid w:val="00F7787B"/>
    <w:rsid w:val="00F908AF"/>
    <w:rsid w:val="00FA22E8"/>
    <w:rsid w:val="00FC7BAF"/>
    <w:rsid w:val="00FC7E86"/>
    <w:rsid w:val="00FD529C"/>
    <w:rsid w:val="00FD7DE3"/>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95"/>
    <w:rPr>
      <w:color w:val="0000FF"/>
      <w:u w:val="single"/>
    </w:rPr>
  </w:style>
  <w:style w:type="paragraph" w:styleId="ListParagraph">
    <w:name w:val="List Paragraph"/>
    <w:aliases w:val="Bullet List 1"/>
    <w:basedOn w:val="Normal"/>
    <w:link w:val="ListParagraphChar"/>
    <w:uiPriority w:val="99"/>
    <w:qFormat/>
    <w:rsid w:val="00BD4695"/>
    <w:pPr>
      <w:spacing w:after="200" w:line="276" w:lineRule="auto"/>
      <w:ind w:left="720"/>
      <w:contextualSpacing/>
    </w:pPr>
    <w:rPr>
      <w:rFonts w:ascii="Calibri" w:hAnsi="Calibri"/>
      <w:sz w:val="22"/>
      <w:szCs w:val="22"/>
    </w:rPr>
  </w:style>
  <w:style w:type="paragraph" w:styleId="Revision">
    <w:name w:val="Revision"/>
    <w:hidden/>
    <w:uiPriority w:val="99"/>
    <w:semiHidden/>
    <w:rsid w:val="006473A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AD"/>
    <w:rPr>
      <w:rFonts w:ascii="Segoe UI" w:hAnsi="Segoe UI" w:cs="Segoe UI"/>
      <w:sz w:val="18"/>
      <w:szCs w:val="18"/>
    </w:rPr>
  </w:style>
  <w:style w:type="character" w:customStyle="1" w:styleId="ListParagraphChar">
    <w:name w:val="List Paragraph Char"/>
    <w:aliases w:val="Bullet List 1 Char"/>
    <w:basedOn w:val="DefaultParagraphFont"/>
    <w:link w:val="ListParagraph"/>
    <w:uiPriority w:val="99"/>
    <w:rsid w:val="006473AD"/>
    <w:rPr>
      <w:rFonts w:ascii="Calibri" w:hAnsi="Calibri" w:cs="Times New Roman"/>
    </w:rPr>
  </w:style>
  <w:style w:type="paragraph" w:styleId="FootnoteText">
    <w:name w:val="footnote text"/>
    <w:basedOn w:val="Normal"/>
    <w:link w:val="FootnoteTextChar"/>
    <w:uiPriority w:val="99"/>
    <w:semiHidden/>
    <w:unhideWhenUsed/>
    <w:rsid w:val="00787697"/>
    <w:rPr>
      <w:sz w:val="20"/>
      <w:szCs w:val="20"/>
    </w:rPr>
  </w:style>
  <w:style w:type="character" w:customStyle="1" w:styleId="FootnoteTextChar">
    <w:name w:val="Footnote Text Char"/>
    <w:basedOn w:val="DefaultParagraphFont"/>
    <w:link w:val="FootnoteText"/>
    <w:uiPriority w:val="99"/>
    <w:semiHidden/>
    <w:rsid w:val="0078769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7697"/>
    <w:rPr>
      <w:vertAlign w:val="superscript"/>
    </w:rPr>
  </w:style>
  <w:style w:type="character" w:styleId="FollowedHyperlink">
    <w:name w:val="FollowedHyperlink"/>
    <w:basedOn w:val="DefaultParagraphFont"/>
    <w:uiPriority w:val="99"/>
    <w:semiHidden/>
    <w:unhideWhenUsed/>
    <w:rsid w:val="00D404E6"/>
    <w:rPr>
      <w:color w:val="800080" w:themeColor="followedHyperlink"/>
      <w:u w:val="single"/>
    </w:rPr>
  </w:style>
  <w:style w:type="paragraph" w:styleId="Header">
    <w:name w:val="header"/>
    <w:basedOn w:val="Normal"/>
    <w:link w:val="HeaderChar"/>
    <w:uiPriority w:val="99"/>
    <w:unhideWhenUsed/>
    <w:rsid w:val="001A0AD1"/>
    <w:pPr>
      <w:tabs>
        <w:tab w:val="center" w:pos="4680"/>
        <w:tab w:val="right" w:pos="9360"/>
      </w:tabs>
    </w:pPr>
  </w:style>
  <w:style w:type="character" w:customStyle="1" w:styleId="HeaderChar">
    <w:name w:val="Header Char"/>
    <w:basedOn w:val="DefaultParagraphFont"/>
    <w:link w:val="Header"/>
    <w:uiPriority w:val="99"/>
    <w:rsid w:val="001A0AD1"/>
    <w:rPr>
      <w:rFonts w:ascii="Times New Roman" w:hAnsi="Times New Roman" w:cs="Times New Roman"/>
      <w:sz w:val="24"/>
      <w:szCs w:val="24"/>
    </w:rPr>
  </w:style>
  <w:style w:type="paragraph" w:styleId="Footer">
    <w:name w:val="footer"/>
    <w:basedOn w:val="Normal"/>
    <w:link w:val="FooterChar"/>
    <w:uiPriority w:val="99"/>
    <w:unhideWhenUsed/>
    <w:rsid w:val="001A0AD1"/>
    <w:pPr>
      <w:tabs>
        <w:tab w:val="center" w:pos="4680"/>
        <w:tab w:val="right" w:pos="9360"/>
      </w:tabs>
    </w:pPr>
  </w:style>
  <w:style w:type="character" w:customStyle="1" w:styleId="FooterChar">
    <w:name w:val="Footer Char"/>
    <w:basedOn w:val="DefaultParagraphFont"/>
    <w:link w:val="Footer"/>
    <w:uiPriority w:val="99"/>
    <w:rsid w:val="001A0A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95"/>
    <w:rPr>
      <w:color w:val="0000FF"/>
      <w:u w:val="single"/>
    </w:rPr>
  </w:style>
  <w:style w:type="paragraph" w:styleId="ListParagraph">
    <w:name w:val="List Paragraph"/>
    <w:aliases w:val="Bullet List 1"/>
    <w:basedOn w:val="Normal"/>
    <w:link w:val="ListParagraphChar"/>
    <w:uiPriority w:val="99"/>
    <w:qFormat/>
    <w:rsid w:val="00BD4695"/>
    <w:pPr>
      <w:spacing w:after="200" w:line="276" w:lineRule="auto"/>
      <w:ind w:left="720"/>
      <w:contextualSpacing/>
    </w:pPr>
    <w:rPr>
      <w:rFonts w:ascii="Calibri" w:hAnsi="Calibri"/>
      <w:sz w:val="22"/>
      <w:szCs w:val="22"/>
    </w:rPr>
  </w:style>
  <w:style w:type="paragraph" w:styleId="Revision">
    <w:name w:val="Revision"/>
    <w:hidden/>
    <w:uiPriority w:val="99"/>
    <w:semiHidden/>
    <w:rsid w:val="006473A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AD"/>
    <w:rPr>
      <w:rFonts w:ascii="Segoe UI" w:hAnsi="Segoe UI" w:cs="Segoe UI"/>
      <w:sz w:val="18"/>
      <w:szCs w:val="18"/>
    </w:rPr>
  </w:style>
  <w:style w:type="character" w:customStyle="1" w:styleId="ListParagraphChar">
    <w:name w:val="List Paragraph Char"/>
    <w:aliases w:val="Bullet List 1 Char"/>
    <w:basedOn w:val="DefaultParagraphFont"/>
    <w:link w:val="ListParagraph"/>
    <w:uiPriority w:val="99"/>
    <w:rsid w:val="006473AD"/>
    <w:rPr>
      <w:rFonts w:ascii="Calibri" w:hAnsi="Calibri" w:cs="Times New Roman"/>
    </w:rPr>
  </w:style>
  <w:style w:type="paragraph" w:styleId="FootnoteText">
    <w:name w:val="footnote text"/>
    <w:basedOn w:val="Normal"/>
    <w:link w:val="FootnoteTextChar"/>
    <w:uiPriority w:val="99"/>
    <w:semiHidden/>
    <w:unhideWhenUsed/>
    <w:rsid w:val="00787697"/>
    <w:rPr>
      <w:sz w:val="20"/>
      <w:szCs w:val="20"/>
    </w:rPr>
  </w:style>
  <w:style w:type="character" w:customStyle="1" w:styleId="FootnoteTextChar">
    <w:name w:val="Footnote Text Char"/>
    <w:basedOn w:val="DefaultParagraphFont"/>
    <w:link w:val="FootnoteText"/>
    <w:uiPriority w:val="99"/>
    <w:semiHidden/>
    <w:rsid w:val="0078769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7697"/>
    <w:rPr>
      <w:vertAlign w:val="superscript"/>
    </w:rPr>
  </w:style>
  <w:style w:type="character" w:styleId="FollowedHyperlink">
    <w:name w:val="FollowedHyperlink"/>
    <w:basedOn w:val="DefaultParagraphFont"/>
    <w:uiPriority w:val="99"/>
    <w:semiHidden/>
    <w:unhideWhenUsed/>
    <w:rsid w:val="00D404E6"/>
    <w:rPr>
      <w:color w:val="800080" w:themeColor="followedHyperlink"/>
      <w:u w:val="single"/>
    </w:rPr>
  </w:style>
  <w:style w:type="paragraph" w:styleId="Header">
    <w:name w:val="header"/>
    <w:basedOn w:val="Normal"/>
    <w:link w:val="HeaderChar"/>
    <w:uiPriority w:val="99"/>
    <w:unhideWhenUsed/>
    <w:rsid w:val="001A0AD1"/>
    <w:pPr>
      <w:tabs>
        <w:tab w:val="center" w:pos="4680"/>
        <w:tab w:val="right" w:pos="9360"/>
      </w:tabs>
    </w:pPr>
  </w:style>
  <w:style w:type="character" w:customStyle="1" w:styleId="HeaderChar">
    <w:name w:val="Header Char"/>
    <w:basedOn w:val="DefaultParagraphFont"/>
    <w:link w:val="Header"/>
    <w:uiPriority w:val="99"/>
    <w:rsid w:val="001A0AD1"/>
    <w:rPr>
      <w:rFonts w:ascii="Times New Roman" w:hAnsi="Times New Roman" w:cs="Times New Roman"/>
      <w:sz w:val="24"/>
      <w:szCs w:val="24"/>
    </w:rPr>
  </w:style>
  <w:style w:type="paragraph" w:styleId="Footer">
    <w:name w:val="footer"/>
    <w:basedOn w:val="Normal"/>
    <w:link w:val="FooterChar"/>
    <w:uiPriority w:val="99"/>
    <w:unhideWhenUsed/>
    <w:rsid w:val="001A0AD1"/>
    <w:pPr>
      <w:tabs>
        <w:tab w:val="center" w:pos="4680"/>
        <w:tab w:val="right" w:pos="9360"/>
      </w:tabs>
    </w:pPr>
  </w:style>
  <w:style w:type="character" w:customStyle="1" w:styleId="FooterChar">
    <w:name w:val="Footer Char"/>
    <w:basedOn w:val="DefaultParagraphFont"/>
    <w:link w:val="Footer"/>
    <w:uiPriority w:val="99"/>
    <w:rsid w:val="001A0A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ynapse-energy.com/Downloads/SynapseReport.2014-03.0.Resource-Value-Framework.14-0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DF2C-304B-4314-9E6D-96F7BF4E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 Josh</dc:creator>
  <cp:lastModifiedBy>Craft, Josh</cp:lastModifiedBy>
  <cp:revision>9</cp:revision>
  <cp:lastPrinted>2014-06-06T18:17:00Z</cp:lastPrinted>
  <dcterms:created xsi:type="dcterms:W3CDTF">2014-06-06T14:45:00Z</dcterms:created>
  <dcterms:modified xsi:type="dcterms:W3CDTF">2014-06-06T19:03:00Z</dcterms:modified>
</cp:coreProperties>
</file>